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ACJC/1907/2019 vom 23. Dezember 2019</w:t>
      </w:r>
    </w:p>
    <w:p>
      <w:r>
        <w:t>GE Cour de justice, 2019-12-23, FR</w:t>
      </w:r>
    </w:p>
    <w:p>
      <w:r>
        <w:rPr>
          <w:b/>
        </w:rPr>
        <w:t xml:space="preserve">Quelle: </w:t>
      </w:r>
      <w:r>
        <w:t>https://mcp.opencaselaw.ch/entscheid/ge_gerichte_ACJC_1907_2019</w:t>
      </w:r>
    </w:p>
    <w:p>
      <w:r>
        <w:t>FR: GE_GERICHTE ACJC/1907/2019 du 23 décembre 2019</w:t>
      </w:r>
    </w:p>
    <w:p>
      <w:r>
        <w:t>IT: GE_GERICHTE ACJC/1907/2019 del 23 dicembre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w:t>
      </w:r>
    </w:p>
    <w:p>
      <w:r>
        <w:t>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w:t>
      </w:r>
    </w:p>
    <w:p>
      <w:r>
        <w:t>- 5/11 -</w:t>
      </w:r>
    </w:p>
    <w:p>
      <w:r>
        <w:t>C/3975/2019 (art. 320 CPC). L'autorité de recours a un plein pouvoir d'examen en droit, mais un pouvoir limité à l'arbitraire en fait, n'examinant par ailleurs que les griefs formulés et motivés par la partie recourante (HOHL, Procédure civile tome II, 2ème éd. 2010, n. 2307).</w:t>
      </w:r>
    </w:p>
    <w:p>
      <w:r>
        <w:t>Les maximes des débats et de disposition s'appliquent (art. 55 al. 1, art. 55 al. 1, 255 let. a a contrario et 58 al. 1 CPC).</w:t>
      </w:r>
    </w:p>
    <w:p>
      <w:r>
        <w:rPr>
          <w:b/>
        </w:rPr>
        <w:t>E. 2</w:t>
      </w:r>
    </w:p>
    <w:p>
      <w:r>
        <w:t>L'intimée a conclu à l'irrecevabilité des faits nouveaux invoqués par le recourant pour la première fois dans la présente procédure, ainsi que les pièces y relatives.</w:t>
      </w:r>
    </w:p>
    <w:p>
      <w:r>
        <w:t>Au vu de l'issue du litige, il n'est pas nécessaire de trancher cette question qui sera laissée ouverte.</w:t>
      </w:r>
    </w:p>
    <w:p>
      <w:r>
        <w:rPr>
          <w:b/>
        </w:rPr>
        <w:t>E. 3</w:t>
      </w:r>
    </w:p>
    <w:p>
      <w:r>
        <w:t>Le recourant se plaint d'une violation de son droit d'être entendu par le Tribunal qui ne lui aurait pas donné l'occasion de se déterminer sur la réplique de l'intimée du 5 août 2019.</w:t>
      </w:r>
    </w:p>
    <w:p>
      <w:r>
        <w:rPr>
          <w:b/>
        </w:rPr>
        <w:t>E. 3.1.1</w:t>
      </w:r>
    </w:p>
    <w:p>
      <w:r>
        <w:t>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w:t>
      </w:r>
    </w:p>
    <w:p>
      <w:r>
        <w:t>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w:t>
      </w:r>
    </w:p>
    <w:p>
      <w:r>
        <w:rPr>
          <w:b/>
        </w:rPr>
        <w:t>E. 3.1.2</w:t>
      </w:r>
    </w:p>
    <w:p>
      <w:r>
        <w:t>L'art. 253 CPC prévoit, pour la procédure sommaire applicable en l'espèce (art. 248 let. e CPC; cf. consid. 1.1 supra), que le tribunal donne à la partie adverse l'occasion de se déterminer oralement ou par écrit sur la requête. Le but</w:t>
      </w:r>
    </w:p>
    <w:p>
      <w:r>
        <w:t>- 6/11 -</w:t>
      </w:r>
    </w:p>
    <w:p>
      <w:r>
        <w:t>C/3975/2019 de cette norme, conformément au message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l'art. 6 ch. 1 CEDH et 29 al. 1 et 2 Cst. de se prononcer sur toute prise de position de la partie adverse, indépendamment de savoir si elle contient des points nouveaux et pertinents (ATF 144 III 117 consid. 2.1).</w:t>
      </w:r>
    </w:p>
    <w:p>
      <w:r>
        <w:rPr>
          <w:b/>
        </w:rPr>
        <w:t>E. 3.1.3</w:t>
      </w:r>
    </w:p>
    <w:p>
      <w:r>
        <w:t>Le droit d'être entendu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w:t>
      </w:r>
    </w:p>
    <w:p>
      <w:r>
        <w:t>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rPr>
          <w:b/>
        </w:rPr>
        <w:t>E. 3.2</w:t>
      </w:r>
    </w:p>
    <w:p>
      <w:r>
        <w:t>En l'espèce, il résulte de la procédure que le Tribunal nanti de la réplique circonstanciée de l'intimée ne l'a pas transmise à l'appelant, qui n'a donc pas pu se prononcer sur cette prise de position avant que la décision ne soit rendue.</w:t>
      </w:r>
    </w:p>
    <w:p>
      <w:r>
        <w:t>La distinction qu'entend opérer l'intimée entre des "déterminations" et une "réplique" pour soutenir que le droit d'être entendu de l'appelant n'a pas été violé, à savoir que la première ne contiendrait pas de fait nouveau, alors que la seconde oui, n'a pas lieu d'être. En effet, le droit à la réplique ne dépend pas de l'allégation de faits nouveaux dans la dernière prise de position adverse. De surcroît, les "déterminations" de l'intimée contenaient des allégations nouvelles, de sorte que l'argumentation de l'intimée tombe de toute manière à faux.</w:t>
      </w:r>
    </w:p>
    <w:p>
      <w:r>
        <w:t>Il s'ensuit que le droit d'être entendu de l'appelant, s'exprimant sous la forme de son droit de dupliquer, qui existe aussi en procédure sommaire, a été violé.</w:t>
      </w:r>
    </w:p>
    <w:p>
      <w:r>
        <w:t>- 7/11 -</w:t>
      </w:r>
    </w:p>
    <w:p>
      <w:r>
        <w:t>C/3975/2019</w:t>
      </w:r>
    </w:p>
    <w:p>
      <w:r>
        <w:t>Une réparation ne saurait entrer en considération au vu du pouvoir de cognition limité de la Cour en l'espèce.</w:t>
      </w:r>
    </w:p>
    <w:p>
      <w:r>
        <w:t>Pour cette raison, la cause doit être retournée à l'autorité de première instance qui doit notifier à l'appelant la réplique déposée le 5 août 2019 par l'intimée et octroyer à celui-ci un délai pour se prononcer. Puis, après avoir donné l'occasion aux parties d'épuiser leur droit à la réplique, il lui incombera de statuer à nouveau, notamment à la lumière de ce qui suit.</w:t>
      </w:r>
    </w:p>
    <w:p>
      <w:r>
        <w:rPr>
          <w:b/>
        </w:rPr>
        <w:t>E. 4</w:t>
      </w:r>
    </w:p>
    <w:p>
      <w:r>
        <w:t>L'appelant reproche au Tribunal de ne pas s'être prononcé sur les griefs qu'il avait développé en lien avec l'art. 34 CL notamment.</w:t>
      </w:r>
    </w:p>
    <w:p>
      <w:r>
        <w:rPr>
          <w:b/>
        </w:rPr>
        <w:t>E. 4.1.1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139 IV 179 consid. 2.2;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w:t>
      </w:r>
    </w:p>
    <w:p>
      <w:r>
        <w:rPr>
          <w:b/>
        </w:rPr>
        <w:t>E. 4.1.2</w:t>
      </w:r>
    </w:p>
    <w:p>
      <w:r>
        <w:t>A teneur de l'art. 34 ch. 1 CL, une décision n'est pas reconnue si la reconnaissance est manifestement contraire à l'ordre public de l'Etat requis.</w:t>
      </w:r>
    </w:p>
    <w:p>
      <w:r>
        <w:t>Un jugement rendu par défaut n'implique, en principe, pas de contravention à l'ordre public procédural, sous l'angle d'une violation du droit d'être entendu, de la Suisse en tant qu'Etat saisi d'une requête en exequatur (voir à ce sujet par exemple et déjà à l'époque l'ATF 116 II 625 consid. 4d, ainsi que l'ATF 142 III 180 consid. 3.3.1). Il ressort cependant tant de la jurisprudence du Tribunal fédéral que de celle de la Cour de justice de l'Union Européenne (CJUE) que, selon les circonstances, un jugement rendu par défaut peut constituer une violation à l'ordre public procédural, susceptible d'entraîner à son tour le refus de l'exequatur au sens de l'art. 34 CL. Ainsi, le Tribunal fédéral a considéré que la possibilité de refuser</w:t>
      </w:r>
    </w:p>
    <w:p>
      <w:r>
        <w:t>- 8/11 -</w:t>
      </w:r>
    </w:p>
    <w:p>
      <w:r>
        <w:t>C/3975/2019 la reconnaissance et la force exécutoire d'un jugement rendu sous un régime de contempt of court devait être réservée si l'on devait conclure que, dans le cas d'espèce, les garanties procédurales essentielles en droit suisse avaient été méconnues. Il en irait ainsi si, par exemple, le défendeur n'avait pas pu pleinement respecter l'injonction qui lui était faite de comparaître parce que la divulgation des informations demandées par le tribunal anglais l'aurait exposé à des sanctions pénales en Suisse (arrêt du Tribunal fédéral 4P.84/2004 du 9 novembre 2004 consid. 3.3.5). Dans le même ordre d'idée et d'ailleurs dans le même contexte de fait, la CJUE, se référant à l'arrêt du Tribunal fédéral précité, a considéré que le juge de l'Etat requis pouvait tenir compte, au regard de la clause relative à l'ordre public visée à cet article, du fait que le juge de l'Etat d'origine avait statué sur les prétentions du demandeur sans entendre le défendeur, qui s'était régulièrement constitué devant lui mais qui avait été exclu de la procédure par une ordonnance au motif qu'il n'avait pas satisfait à des obligations imposées par une ordonnance prise antérieurement dans le cadre de la même procédure, lorsque, au terme d'une appréciation globale de la procédure et au vu de l'ensemble des circonstances, il lui apparaissait que cette mesure d'exclusion avait constitué une atteinte manifeste et démesurée au droit du défendeur à être entendu (Arrêt de la Cour (première chambre) du 2 avril 2009 Gambezzi Affaire C-394/07 consid. 48; dans le même sens Arrêt de la Cour (première chambre) du 6 septembre 2012 Trade Agency Affaire C-619/10 consid. 62).</w:t>
      </w:r>
    </w:p>
    <w:p>
      <w:r>
        <w:rPr>
          <w:b/>
        </w:rPr>
        <w:t>E. 4.2</w:t>
      </w:r>
    </w:p>
    <w:p>
      <w:r>
        <w:t>En sus de ce qui précède, il sied de constater que le Tribunal a tranché, par la négative, la question d'une éventuelle application de l'art. 34 CL, qui prévoit, notamment, que la reconnaissance d'un jugement étranger est refusée si elle est contraire à l'ordre public de l'Etat requis (art. 34 ch. 1 CL). Aucune motivation n'a été développée à ce sujet.</w:t>
      </w:r>
    </w:p>
    <w:p>
      <w:r>
        <w:t>Or, le recourant a formulé, dans sa réponse de première instance, des griefs détaillés sur ce point, notamment en lien avec la question du droit d'être entendu dans la procédure étrangère. A ce sujet, il a relevé, en substance, que les tribunaux anglais avaient considéré que la menace d'une incarcération au Royaume-Uni ne constituait pas un motif valable qui l'empêchait de comparaître en personne dans cet Etat. Puis, comme il ne s'était pas soumis à l'injonction de comparaître en personne, les juges anglais avaient statué par défaut, ce qu'ils ne pouvaient pas faire.</w:t>
      </w:r>
    </w:p>
    <w:p>
      <w:r>
        <w:t>Il s'ensuit que les objections soulevées par l'appelant dans ce contexte nécessitaient un examen du Tribunal. Celui-ci aurait dû discuter les circonstances dans lesquelles le jugement par défaut avait été rendu et formuler une appréciation globale de la procédure étrangère et de l'ensemble des circonstances. En particulier, le Tribunal devait se pencher sur la question de savoir si et dans quelle mesure le droit d'être entendu de l'appelant avait été respecté dans la procédure anglaise et exposer les motifs conduisant à sa décision. Au vu de la jurisprudence</w:t>
      </w:r>
    </w:p>
    <w:p>
      <w:r>
        <w:t>- 9/11 -</w:t>
      </w:r>
    </w:p>
    <w:p>
      <w:r>
        <w:t>C/3975/2019 exposée ci-dessus, il ne pouvait faire l'économie, au regard des exigences de motivation qui prévalent, de la pesée des intérêts qu'implique en l'occurrence l'éventuelle application de l'art. 34 CL.</w:t>
      </w:r>
    </w:p>
    <w:p>
      <w:r>
        <w:t>Ainsi, en ne fournissant aucune explication à l'égard des griefs soulevés par l'appelant en lien avec l'application de l'art. 34 CL, le Tribunal a violé l'obligation de motiver, composante du droit d'être entendu de l'appelant.</w:t>
      </w:r>
    </w:p>
    <w:p>
      <w:r>
        <w:t>Cette violation est d'autant plus grave que l'admissibilité d'invoquer des faits nouveaux est limitée en procédure de recours (art. 326 CPC) et que la Cour ne serait pas en mesure d'examiner correctement les griefs de l'appelant si le Tribunal ne constate pas les faits pertinents et essentiels en lien avec ceux-ci.</w:t>
      </w:r>
    </w:p>
    <w:p>
      <w:r>
        <w:t>Pour cette raison encore, le jugement entrepris doit être annulé.</w:t>
      </w:r>
    </w:p>
    <w:p>
      <w:r>
        <w:rPr>
          <w:b/>
        </w:rPr>
        <w:t>E. 5</w:t>
      </w:r>
    </w:p>
    <w:p>
      <w:r>
        <w:t>Le recours est admis et la cause renvoyée au Tribunal pour nouvelle décision dans le sens des considérants.</w:t>
      </w:r>
    </w:p>
    <w:p>
      <w:r>
        <w:rPr>
          <w:b/>
        </w:rPr>
        <w:t>E. 6.1</w:t>
      </w:r>
    </w:p>
    <w:p>
      <w:r>
        <w:t>Les frais judiciaires, arrêtés à 3'000 fr. (art. 19 LaCC et 26 et 38 RTFMC), seront mis à la charge de l'intimée qui a conclu au rejet du recours et qui succombe (art. 106 al. 1 CPC) et compensés avec l'avance de frais de même montant fournie par le recourant, acquise à l'Etat de Genève (art. 111 al. 1 CPC). L'intimée sera ainsi condamnée à verser au recourant le montant de 3'000 fr. à titre de remboursement des frais judiciaires de recours (art. 111 al. 2 CPC).</w:t>
      </w:r>
    </w:p>
    <w:p>
      <w:r>
        <w:rPr>
          <w:b/>
        </w:rPr>
        <w:t>E. 6.2</w:t>
      </w:r>
    </w:p>
    <w:p>
      <w:r>
        <w:t>L'intimée sera par ailleurs condamnée à s'acquitter des dépens du recourant, lesquels seront arrêtés à 3'000 fr., débours et TVA inclus, compte tenu du fait que la question décisive, portant uniquement sur le droit d'être entendu, ne nécessitait pas le dépôt d'écritures volumineuses et complexes (art. 84, 85, 88 et 90 RTFMC; art. 23, 25 et 26 LaCC). * * * * *</w:t>
      </w:r>
    </w:p>
    <w:p>
      <w:r>
        <w:t>- 10/11 -</w:t>
      </w:r>
    </w:p>
    <w:p>
      <w:r>
        <w:t>C/3975/2019 PAR CES MOTIFS, La Chambre civile : A la forme : Déclare recevable le recours interjeté le 13 septembre 2019 par A______ contre le jugement JTPI/12070/2019 rendu le 29 août 2019 par le Tribunal de première instance dans la cause C/3975/2019-15 SML. Au fond : Annule le jugement attaqué et, cela fait : Renvoie la cause au Tribunal de première instance pour nouvelle décision dans le sens des considérants. Déboute les parties de toutes autres conclusions. Sur les frais : Arrête les frais judiciaires du recours à 3'000 fr., les met à la charge de B______ [ETABLISSEMENT BANCAIRE] et les compense avec l'avance de frais de même montant versée par A______, qui demeure acquise à l'Etat de Genève. Condamne B______ [ETABLISSEMENT BANCAIRE] à verser 3'000 fr. à A______ à titre de remboursement des frais judiciaires de recours. Condamne B______ [ETABLISSEMENT BANCAIRE] à verser 3'000 fr. à A______ à titre de dépens du recours. Siégeant : Madame Pauline ERARD, présidente; Monsieur Laurent RIEBEN et Madame Fabienne GEISINGER-MARIETHOZ, juges; Madame Mélanie DE RESENDE PEREIRA, greffière.</w:t>
      </w:r>
    </w:p>
    <w:p>
      <w:r>
        <w:t>La présidente : Pauline ERARD</w:t>
      </w:r>
    </w:p>
    <w:p>
      <w:r>
        <w:t>La greffière : Mélanie DE RESENDE PEREIRA</w:t>
      </w:r>
    </w:p>
    <w:p>
      <w:r>
        <w:t>- 11/11 -</w:t>
      </w:r>
    </w:p>
    <w:p>
      <w:r>
        <w:t>C/3975/2019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