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ACJC/189/2025 vom 11. Februar 2025</w:t>
      </w:r>
    </w:p>
    <w:p>
      <w:r>
        <w:t>GE Cour de justice, 2025-02-11, FR</w:t>
      </w:r>
    </w:p>
    <w:p>
      <w:r>
        <w:rPr>
          <w:b/>
        </w:rPr>
        <w:t xml:space="preserve">Quelle: </w:t>
      </w:r>
      <w:r>
        <w:t>https://mcp.opencaselaw.ch/entscheid/ge_gerichte_ACJC_189_2025</w:t>
      </w:r>
    </w:p>
    <w:p>
      <w:r>
        <w:t>FR: GE_GERICHTE ACJC/189/2025 du 11 février 2025</w:t>
      </w:r>
    </w:p>
    <w:p>
      <w:r>
        <w:t>IT: GE_GERICHTE ACJC/189/2025 del 11 febbraio 2025</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 sous réserve de ce qui suit, étant par ailleurs relevé que même si la recourante n'a pas formellement pris de conclusion, il peut être compris de ses explications qu'elle persiste dans sa requête tendant au prononcé de la mainlevée de l'opposition formée par l'intimée.</w:t>
      </w:r>
    </w:p>
    <w:p>
      <w:r>
        <w:rPr>
          <w:b/>
        </w:rPr>
        <w:t>E. 1.3</w:t>
      </w:r>
    </w:p>
    <w:p>
      <w:r>
        <w:t>Selon l'art. 326 al. 1 CPC, les conclusions, les allégations de faits et les preuves nouvelles sont irrecevables. La recourante présente à l'appui de son recours des éléments de fait qu'elle n'avait pas allégué devant le Tribunal, en lien avec le montant mensuel facturé pour ses services et les raisons pour lesquelles il diffère de celui figurant dans le contrat de 2012, et des pièces nouvelles. Tant lesdits faits que lesdites pièces sont irrecevables.</w:t>
      </w:r>
    </w:p>
    <w:p>
      <w:r>
        <w:rPr>
          <w:b/>
        </w:rPr>
        <w:t>E. 1.4</w:t>
      </w:r>
    </w:p>
    <w:p>
      <w:r>
        <w:t>Dans le cadre d'un recours, le pouvoir d'examen de la Cour est limité à la violation du droit et à la constatation manifestement inexacte des faits (art. 320 CPC). Le recours étant instruit en procédure sommaire (art. 251 let. a CPC), la preuve des faits allégués doit être apportée par titres (art. 254 CPC). Les maximes des débats et de disposition s'appliquent (art. 55 al. 1, 255 let. a a contrario et art. 58 al. 1 CPC).</w:t>
      </w:r>
    </w:p>
    <w:p>
      <w:r>
        <w:rPr>
          <w:b/>
        </w:rPr>
        <w:t>E. 2</w:t>
      </w:r>
    </w:p>
    <w:p>
      <w:r>
        <w:t>La recourante conteste le jugement attaqué en alléguant des faits nouveaux, à savoir que le montant initialement prévu dans le contrat qui la lie à l'intimée a été régulièrement indexé et que la TVA a augmenté, raison pour laquelle le montant facturé ne correspond pas à celui mentionné dans le contrat initial.</w:t>
      </w:r>
    </w:p>
    <w:p>
      <w:r>
        <w:t>- 4/6 -</w:t>
      </w:r>
    </w:p>
    <w:p>
      <w:r>
        <w:t>C/16381/2024</w:t>
      </w:r>
    </w:p>
    <w:p>
      <w:r>
        <w:rPr>
          <w:b/>
        </w:rPr>
        <w:t>E. 2.1.1</w:t>
      </w:r>
    </w:p>
    <w:p>
      <w:r>
        <w:t>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résultent (ATF 139 III 297 consid. 2.3.1; 136 III 627 consid. 2 et la référence).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5A_65/2020 du 7 juillet 2020 consid. 4.2.3.1; 5A_740/2018 du 1er avril 2019 consid. 6.1.2 et les références, non publié aux ATF 145 III 160, mais in Pra 2020 n° 3 p. 45). Le juge doit vérifier d'office l'existence d'une reconnaissance de dette et des trois identités (ATF 142 III 720 consid. 4.1; 139 III 444 consid. 4.1.1; arrêt du Tribunal fédéral 5A_650/2018 du 3 décembre 2018, consid. 4.1.1).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2017, n. 47 et 48 ad art. 82 LP). Un contrat écrit justifie en principe la mainlevée provisoire de l'opposition pour la somme d'argent incombant au poursuivi lorsque les conditions d'exigibilité de la dette sont établies (ATF 145 III 20, consid. 4.1.1). Des factures ne valent pas reconnaissance de dette et ce, même si elles ne sont pas contestées (arrêt du Tribunal fédéral 5P.290/2006 du 12 octobre 2006 consid. 3.2).</w:t>
      </w:r>
    </w:p>
    <w:p>
      <w:r>
        <w:rPr>
          <w:b/>
        </w:rPr>
        <w:t>E. 2.1.2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w:t>
      </w:r>
    </w:p>
    <w:p>
      <w:r>
        <w:t>- 5/6 -</w:t>
      </w:r>
    </w:p>
    <w:p>
      <w:r>
        <w:t>C/16381/2024 Le prononcé de la mainlevée ne sortit que des effets de droit des poursuites et la décision du juge de la mainlevée provisoire ne prive pas les parties du droit de soumettre à nouveau la question litigieuse au juge ordinaire (ATF 136 III 528 consid. 3.2; arrêt du Tribunal fédéral 5A_577/2013 du 7 octobre 2013 consid. 4.1).</w:t>
      </w:r>
    </w:p>
    <w:p>
      <w:r>
        <w:rPr>
          <w:b/>
        </w:rPr>
        <w:t>E. 2.2</w:t>
      </w:r>
    </w:p>
    <w:p>
      <w:r>
        <w:t>En l'espèce, il convient d'emblée de relever que la recourante ne conteste pas le jugement attaqué en tant qu'il a considéré qu'il ne ressortait pas des pièces produites que l'intimée aurait reconnu devoir le montant qui faisait l'objet de la poursuite, lequel ne correspondait pas au montant convenu dans le contrat. La recourante invoque en revanche des faits et des pièces nouveaux pour expliquer la différence de montants soulevée par le Tribunal, qui sont cependant irrecevables dans le cadre d'un recours (cf supra consid 1.3). Il n'est dès lors pas possible d'en tenir compte. En tout état de cause, la recourante allègue des augmentations de prix, sans toutefois qu'il soit possible, sur la base des éléments fournis, de reconstituer les étapes qui ont conduit à une augmentation du montant mensuel convenu dans le contrat initial de 4'542 fr. 85 à un montant de 6'959 fr. 25 réclamé en dernier lieu dans le cadre de la poursuite. Ainsi, même si les éléments invoqués devant la Cour étaient recevables, il ne pourrait être retenu que le montant mensuel réclamé correspond à celui qui avait été convenu dans le contrat de 2012, puis modifié ultérieurement. Au vu de ce qui précède, le recours n'est pas fondé, de sorte qu'il sera rejeté, sans préjudice du droit de la recourante à obtenir le paiement des prestations qu'elle a fournies par la voie d'une procédure ordinaire, au fond.</w:t>
      </w:r>
    </w:p>
    <w:p>
      <w:r>
        <w:rPr>
          <w:b/>
        </w:rPr>
        <w:t>E. 3</w:t>
      </w:r>
    </w:p>
    <w:p>
      <w:r>
        <w:t>La recourante, qui succombe, sera condamnée aux frais du recours (art. 106 al. 1 CPC). Les frais judiciaires de recours seront arrêtés à 600 fr. (art. 48 et 61 al. 1 OELP) et compensés avec l'avance versée par la recourante, laquelle reste acquise à l'Etat de Genève (art. 111 al. 1 CPC). Il n'y a pas lieu d'allouer de dépens de recours à l'intimée qui comparaît en personne et n'a pas répondu au recours (art. 95 al. 3 let. c CPC). * * * * *</w:t>
      </w:r>
    </w:p>
    <w:p>
      <w:r>
        <w:t>- 6/6 -</w:t>
      </w:r>
    </w:p>
    <w:p>
      <w:r>
        <w:t>C/16381/2024 PAR CES MOTIFS, La Chambre civile : A la forme : Déclare recevable le recours interjeté par A______ SA contre le jugement JTPI/13005/2024 rendu le 23 octobre 2024 par le Tribunal de première instance dans la cause C/16381/2024-7 SML. Au fond : Rejette ce recours. Déboute les parties de toutes autres conclusions. Sur les frais : Met à la charge de A______ SA les frais judiciaires de recours, arrêtés à 600 fr. et compensés avec l'avance versée, acquise à l'Etat de Genève. Dit qu'il n'est pas alloué de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