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ACJC/189/2022 vom 9. Februar 2022</w:t>
      </w:r>
    </w:p>
    <w:p>
      <w:r>
        <w:t>GE Cour de justice, 2022-02-09, FR</w:t>
      </w:r>
    </w:p>
    <w:p>
      <w:r>
        <w:rPr>
          <w:b/>
        </w:rPr>
        <w:t xml:space="preserve">Quelle: </w:t>
      </w:r>
      <w:r>
        <w:t>https://mcp.opencaselaw.ch/entscheid/ge_gerichte_ACJC_189_2022</w:t>
      </w:r>
    </w:p>
    <w:p>
      <w:r>
        <w:t>FR: GE_GERICHTE ACJC/189/2022 du 9 février 2022</w:t>
      </w:r>
    </w:p>
    <w:p>
      <w:r>
        <w:t>IT: GE_GERICHTE ACJC/189/2022 del 9 febbraio 2022</w:t>
      </w:r>
    </w:p>
    <w:p>
      <w:pPr>
        <w:pStyle w:val="Heading2"/>
      </w:pPr>
      <w:r>
        <w:t>Erwägungen</w:t>
      </w:r>
    </w:p>
    <w:p>
      <w:r>
        <w:rPr>
          <w:b/>
        </w:rPr>
        <w:t>E. 1.1</w:t>
      </w:r>
    </w:p>
    <w:p>
      <w:r>
        <w:t>La procédure sommaire est applicable aux affaires relatives à l'obligation de renseigner les actionnaires et les créanciers d'une société anonyme (art. 250 let. c ch. 7 CPC et art. 958e CO).</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décision relative à la consultation des comptes doit être considérée comme une décision finale puisqu'elle règle définitivement le sort du droit à la consultation des comptes annuels de la société défenderesse et exclut une procédure ultérieure (cf. arrêt du Tribunal fédéral 4C.129/2004 du 6 juillet 2004 consid. 2, à propos de l'art. 697h CO, qui a été remplacé le 1er janvier 2013 par l'art. 958e CO [arrêt du Tribunal fédéral 4A_240/2013 du 30 septembre 2013 consid. 1.4]). Le litige portant sur le droit de consulter des comptes par un créancier est de nature pécuniaire (arrêt du Tribunal fédéral 4A_36/2010 du 20 avril 2010 consid. 1.1). En l'espèce, le jugement entrepris est une décision finale en tant qu'il ordonne à l'appelante de tenir ses comptes à disposition de l'intimée pour consultation. En outre, la créance alléguée par l'intimée s'élevant à plus de 40'000 fr., la valeur</w:t>
      </w:r>
    </w:p>
    <w:p>
      <w:r>
        <w:t>- 5/9 -</w:t>
      </w:r>
    </w:p>
    <w:p>
      <w:r>
        <w:t>C/9601/2021 litigieuse au dernier état des conclusions devant le Tribunal était supérieure à 10'000 fr. La voie de l'appel est dès lors ouverte.</w:t>
      </w:r>
    </w:p>
    <w:p>
      <w:r>
        <w:rPr>
          <w:b/>
        </w:rPr>
        <w:t>E. 1.3</w:t>
      </w:r>
    </w:p>
    <w:p>
      <w:r>
        <w:t>Formé en temps utile et selon la forme prescrite par la loi (art. 130, 131, 142 al. 1 et 3, 311 al. 1 et 314 al. 1 CPC), l'appel est recevable.</w:t>
      </w:r>
    </w:p>
    <w:p>
      <w:r>
        <w:rPr>
          <w:b/>
        </w:rPr>
        <w:t>E. 2</w:t>
      </w:r>
    </w:p>
    <w:p>
      <w:r>
        <w:t>L'appelante reproche au Tribunal d'avoir violé l'article 958e CO en ne procédant pas à une juste pesée des intérêts en présence. Elle s'en rapporte à justice concernant la qualité de créancière de l'intimée; elle soutient que cette dernière ne disposerait d'aucun intérêt digne de protection à la consultation des comptes en raison du caractère tardif et chicanier de la requête, de son intérêt à la préservation de son secret commercial et du faible montant de la créance alléguée.</w:t>
      </w:r>
    </w:p>
    <w:p>
      <w:r>
        <w:rPr>
          <w:b/>
        </w:rPr>
        <w:t>E. 2.1</w:t>
      </w:r>
    </w:p>
    <w:p>
      <w:r>
        <w:t>Selon l'article 958e alinéa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SJ 1995 p. 301 ss; arrêt du Tribunal fédéral 4C.244/1995 du 17 novembre 1995 consid. 3b). Il ne suffit pas que le requérant fasse valoir sa qualité de créancier; l'intérêt digne de protection est une exigence légale supplémentaire, soumise aux mêmes exigences de preuve. La curiosité, le désir de connaître des secrets d'affaires ou de nouer des relations concurrentes ne fondent pas un intérêt digne de protection. Le requérant doit établir des circonstances concrètes qui font apparaître son besoin d'information comme digne de protection d'un point de vue objectif. Il ne faut pas poser des exigences trop sévères. D'une façon générale, l'introduction d'une action en paiement, qui n'est pas d'emblée dépourvue de chance de succès, contre la société fonde un intérêt légitime. On ne saurait guère dénier au créancier l’existence d’un intérêt digne de protection à examiner au préalable la capacité financière de la société débitrice avant qu’il ne mette en œuvre au besoin d’autres moyens en vue du recouvrement de sa créance. Cela étant, même dans une telle configuration, une pesée des intérêts en présence est nécessaire. Dans le cas d'une prétention bagatelle, la tendance sera plutôt de mettre en doute l'intérêt digne de protection à une consultation préalable. De même, l'introduction d'une demande dans le seul but d'obtenir la consultation des documents sociaux de son adversaire procédural ne saurait davantage fonder un droit à la consultation (ATF 137 III 255 consid. 4.1.3, SJ 2012 I p.71s, JdT 2013 II p. 322 ss).</w:t>
      </w:r>
    </w:p>
    <w:p>
      <w:r>
        <w:rPr>
          <w:b/>
        </w:rPr>
        <w:t>E. 2.2</w:t>
      </w:r>
    </w:p>
    <w:p>
      <w:r>
        <w:t>- 6/9 -</w:t>
      </w:r>
    </w:p>
    <w:p>
      <w:r>
        <w:t>C/9601/2021</w:t>
      </w:r>
    </w:p>
    <w:p>
      <w:r>
        <w:rPr>
          <w:b/>
        </w:rPr>
        <w:t>E. 2.2.1</w:t>
      </w:r>
    </w:p>
    <w:p>
      <w:r>
        <w:t>En l'espèce, dans le jugement entrepris, le Tribunal n'a pas expressément retenu que l'appelante était créancière de l'intimée. Cela étant, il a implicitement admis que cette condition était remplie puisqu'il a donné gain de cause à la précitée. L'appelante ne critique pas le jugement sur ce point et s'en rapporte à justice quant à la qualité de créancière de l'intimée. En particulier, elle ne fait pas valoir, en appel, que l'action en paiement formée par l'intimée serait dénuée de chances de succès. Partant, la qualité de créancière de l'intimée est rendue hautement vraisemblable, ce qui est suffisant au regard de la jurisprudence rappelée ci-dessus. S'agissant de l'intérêt digne de protection, il apparaît que la requête en consultation des comptes a été formée par l'intimée, en temps utile, dès lors qu'elle a été introduite en mai 2021, soit au moment de l'instruction de l'action en paiement par le Tribunal de première instance suite à l'annulation de son jugement du 6 septembre 2017 et au renvoi de la cause par la Cour de justice. Contrairement à ce qu'avance l'appelante, qui considère que la requête litigieuse était tardive, l'intimée n'avait pas à déposer une nouvelle requête en consultation avant que les juridictions genevoises et le Tribunal fédéral ne se prononcent sur l'imputabilité des actes de D______ à l'appelante. En effet, avant l'arrêt du Tribunal fédéral du 17 janvier 2020, une nouvelle requête en consultation de comptes de l'intimée aurait vraisemblablement été rejetée pour les mêmes raisons que celles ressortant du jugement du Tribunal du 9 février 2017 et de l'arrêt de la Cour du 23 juin 2017. Enfin, il est probable que l'action en paiement, qui est toujours pendante, suive son cours devant plusieurs instances; compte tenu des coûts d'un procès civil ordinaire, l'intérêt actuel de l'intimée à pouvoir évaluer le risque de devoir supporter de tels frais ne peut être dénié.</w:t>
      </w:r>
    </w:p>
    <w:p>
      <w:r>
        <w:rPr>
          <w:b/>
        </w:rPr>
        <w:t>E. 2.2.2</w:t>
      </w:r>
    </w:p>
    <w:p>
      <w:r>
        <w:t>La qualité de créancière de l'intimée ainsi que son intérêt à la consultation des comptes étant établis, il convient encore de procéder à une pesée des intérêts en présence, soit en premier lieu de déterminer si l'intérêt de l'intimée à examiner la capacité financière de l'appelante est supérieur à l'intérêt de l'appelante à tenir ses comptes et rapports de gestion secrets. En l'occurrence, l'appelante fait valoir que la consultation des documents requis permettrait à l'intimée d'avoir accès à des informations sensibles, strictement confidentielles, se rapportant à l'organisation de la société, à sa clientèle et à la marche de ses affaires. Elle soutient encore que leur divulgation à l'intimée reviendrait à la mettre en péril. A cet égard, elle n'apporte aucun élément concret. La présente procédure a précisément pour but de connaitre la situation financière de l'appelante, soit la marche de ses affaires, de sorte que cette dernière ne saurait se prévaloir de confidentialité dans ce domaine.</w:t>
      </w:r>
    </w:p>
    <w:p>
      <w:r>
        <w:t>- 7/9 -</w:t>
      </w:r>
    </w:p>
    <w:p>
      <w:r>
        <w:t>C/9601/2021 Pour le surplus, on ne voit pas en quoi, le fait qu'un tiers connaisse l'organisation et la clientèle de l'appelante (pour autant que ce soit possible au vu du caractère restreint du droit à la consultation) mettrait cette dernière en péril.</w:t>
      </w:r>
    </w:p>
    <w:p>
      <w:r>
        <w:rPr>
          <w:b/>
        </w:rPr>
        <w:t>E. 2.2.3</w:t>
      </w:r>
    </w:p>
    <w:p>
      <w:r>
        <w:t>Dans la balance des intérêts, il convient encore de prendre en considération le montant de la créance prétendue, que l'appelante reproche au premier juge de ne pas avoir examiné. La notion de créance bagatelle n'est pas définie par la jurisprudence ou la doctrine. Au sens du dictionnaire, le mot bagatelle est notamment caractérisé comme une chose de peu de valeur (cf. Dictionnaire en ligne Le Robert). On peut également se référer sur ce point au montant de 300 fr. visé par la jurisprudence en lien avec un élément de faible valeur (art. 172 ter CP), généralement décrit comme cas bagatelle (cf. JEANNERET, CR-CP ad art. 172ter n° 12 et les références citées). La créance que fait valoir l'intimée est de 45'884 fr. avec intérêts à 5% l'an dès le 1er décembre 2010, soit un montant total de plus de 80'000 fr à ce jour. Objectivement, il est ainsi douteux qu'une créance de cette quotité puisse être qualifiée de bagatelle. Subjectivement, l'appelante soutient qu'un tel montant ne serait pas apte à menacer sa solvabilité si elle devait être condamnée à s'en acquitter auprès de l'intimée. Dès lors qu'elle n'établit ni ne rend vraisemblable qu'elle disposerait d'autres avoirs que son capital-actions, de 100'000 fr., soit un montant de peu supérieur à la créance, en capital et intérêts, que fait valoir l'intimée, la qualification de bagatelle ne s'impose pas non plus. Ainsi, l'intérêt de l'intimée à consulter les comptes de l'appelante prime l'intérêt de celle-ci à la non-divulgation des informations concernant sa gestion. Le jugement attaqué sera dès lors confirmé.</w:t>
      </w:r>
    </w:p>
    <w:p>
      <w:r>
        <w:rPr>
          <w:b/>
        </w:rPr>
        <w:t>E. 3</w:t>
      </w:r>
    </w:p>
    <w:p>
      <w:r>
        <w:t>Les frais judiciaires d'appel seront arrêtés à 600 fr. (art. 26 et 35 RTFMC) et mis à la charge de l'appelante qui succombe (art. 105 al. 1, art. 106 al. 1 CPC). Ces frais seront compensés avec l'avance de frais de même montant fournie par celle-ci, qui demeure acquise à l'Etat de Genève (art. 111 al. 1 CPC). L'appelante sera en outre condamnée à verser à l'intimée la somme de 500 fr. à titre de dépens d'appel, dès lors que la réponse de cette dernière a consisté en un courrier de deux pages (105 al. 2 CPC; art. 84, 85, 88 et 90 RTFMC) débours et TVA inclus (art. 25 et 26 LaCC).</w:t>
      </w:r>
    </w:p>
    <w:p>
      <w:r>
        <w:t>- 8/9 -</w:t>
      </w:r>
    </w:p>
    <w:p>
      <w:r>
        <w:t>C/9601/2021 * * * * * PAR CES MOTIFS, La Chambre civile : A la forme : Déclare recevable l'appel interjeté le 27 septembre 2021 par A______ SA contre le jugement JTPI/11330/2021 rendu le 13 septembre 2021 par le Tribunal de première instance dans la cause C/9601/2021–1 SFC. Au fond : Confirme le jugement attaqué. Déboute les parties de toutes autres conclusions. Sur les frais : Arrête les frais judiciaires à 600 fr., les compense avec l'avance de frais effectuée par A______ SA et les met à charge de cette dernière. Condamne A______ SA à verser à B______ la somme de 500 fr.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- 9/9 -</w:t>
      </w:r>
    </w:p>
    <w:p>
      <w:r>
        <w:t>C/9601/2021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