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ACJC/1869/2019 vom 15. Januar 2020</w:t>
      </w:r>
    </w:p>
    <w:p>
      <w:r>
        <w:t>GE Cour de justice, 2020-01-15, FR</w:t>
      </w:r>
    </w:p>
    <w:p>
      <w:r>
        <w:rPr>
          <w:b/>
        </w:rPr>
        <w:t xml:space="preserve">Quelle: </w:t>
      </w:r>
      <w:r>
        <w:t>https://mcp.opencaselaw.ch/entscheid/ge_gerichte_ACJC_1869_2019</w:t>
      </w:r>
    </w:p>
    <w:p>
      <w:r>
        <w:t>FR: GE_GERICHTE ACJC/1869/2019 du 15 janvier 2020</w:t>
      </w:r>
    </w:p>
    <w:p>
      <w:r>
        <w:t>IT: GE_GERICHTE ACJC/1869/2019 del 15 gennaio 2020</w:t>
      </w:r>
    </w:p>
    <w:p>
      <w:pPr>
        <w:pStyle w:val="Heading2"/>
      </w:pPr>
      <w:r>
        <w:t>Erwägungen</w:t>
      </w:r>
    </w:p>
    <w:p>
      <w:r>
        <w:rPr>
          <w:b/>
        </w:rPr>
        <w:t>E. 1</w:t>
      </w:r>
    </w:p>
    <w:p>
      <w:r>
        <w:t>1.1.1 L'appel est recevable contre les décisions finales de première instance (art. 308 al. 1 let. a CPC), dans les causes non patrimoniales ou dont la valeur litigieuse, au dernier état des conclusions de première instance, est supérieure à 10'000 fr. (art. 308 al. 2 CPC).</w:t>
      </w:r>
    </w:p>
    <w:p>
      <w:r>
        <w:t>1.1.2 Le litige porte en l'espèce sur le montant de la contribution d'entretien en faveur de l'intimée, de sorte qu'il est de nature pécuniaire (ATF 133 III 393</w:t>
      </w:r>
    </w:p>
    <w:p>
      <w:r>
        <w:t>- 7/18 -</w:t>
      </w:r>
    </w:p>
    <w:p>
      <w:r>
        <w:t>C/3691/2017 consid. 2; arrêts du Tribunal fédéral 5A_42/2013 du 27 juin 2013 consid. 1.1; 5A_906/2012 du 18 avril 2013 consid. 1). La capitalisation du montant de la contribution d'entretien restée litigieuse devant le premier juge, conformément à l'art. 92 al. 2 CPC, excède 10'000 fr. (600 fr. x 12 x 20 = 144'000 fr.). 1.2.1 Selon l'art. 311 al. 1 CPC, l'appel doit être écrit et motivé. Il incombe à l'appelant de démontrer le caractère erroné de la motivation attaquée. Pour satisfaire à cette exigence, il ne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Le fait que le juge d'appel applique le droit d'office (art. 57 CPC) ne supprime toutefois pas l'exigence de motivation consacrée à l'art. 311 CPC (arrêt du Tribunal fédéral 4A_463/2014 du 23 janvier 2015 consid. 1). La motivation est une condition de recevabilité de l’appel prévue par la loi, qui doit être examinée d’office. Si elle fait défaut, le Tribunal cantonal supérieur n’entre pas en matière sur l’appel (arrêts du Tribunal fédéral 4A_651/2012 du 7 février 2013 consid. 4.2; 5A_438/2012 du 27 août 2012 consid. 2.2; 4A_659/2011 du 7 décembre 2011 consid. 3 = SJ 2012 I 232). Selon la jurisprudence du Tribunal fédéral relative à l'appel,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(arrêt du Tribunal fédéral 4D_72/2014 du 12 mars 2015 consid. 3; ATF 137 III 617 consid. 4.2 et 4.3 p. 618). 1.2.2 En l'espèce, l'intimée conclut à l'irrecevabilité de l'appel pour cause d'absence de motivation. Elle allègue que l'appelant n'indique pas en quoi la motivation du Tribunal sur la question de la contribution d'entretien serait erronée ou contraire au droit, qu'il ne critique pas la décision querellée et qu'il ne désigne pas les passages de la décision qu'il entend attaquer. Or, au vu des principes rappelés ci-dessus, tel n'est pas le cas. L'appelant critique en effet des passages précis du jugement attaqué et fait valoir des griefs détaillés, en relation avec la fixation de la contribution d'entretien due à l'intimée. Partant, son appel apparaît suffisamment motivé.</w:t>
      </w:r>
    </w:p>
    <w:p>
      <w:r>
        <w:rPr>
          <w:b/>
        </w:rPr>
        <w:t>E. 1.3</w:t>
      </w:r>
    </w:p>
    <w:p>
      <w:r>
        <w:t>Au surplus, l'appel a été formé dans le délai et selon la forme prescrite par la loi (art. 130, 131, 311 al. 1 et 2 CPC). Il est donc recevable.</w:t>
      </w:r>
    </w:p>
    <w:p>
      <w:r>
        <w:t>- 8/18 -</w:t>
      </w:r>
    </w:p>
    <w:p>
      <w:r>
        <w:t>C/3691/2017</w:t>
      </w:r>
    </w:p>
    <w:p>
      <w:r>
        <w:rPr>
          <w:b/>
        </w:rPr>
        <w:t>E. 2</w:t>
      </w:r>
    </w:p>
    <w:p>
      <w:r>
        <w:t>Les chiffres 1, 2, 3, 4, 7, 8, 9 et 10 du dispositif du jugement querellé n'ayant pas été remis en cause en appel, ils sont entrés en force de chose jugée (art. 315 CPC).</w:t>
      </w:r>
    </w:p>
    <w:p>
      <w:r>
        <w:rPr>
          <w:b/>
        </w:rPr>
        <w:t>E. 3.1</w:t>
      </w:r>
    </w:p>
    <w:p>
      <w:r>
        <w:t>La Cour revoit la cause avec un plein pouvoir d'examen (art. 310 CPC).</w:t>
      </w:r>
    </w:p>
    <w:p>
      <w:r>
        <w:rPr>
          <w:b/>
        </w:rPr>
        <w:t>E. 3.2</w:t>
      </w:r>
    </w:p>
    <w:p>
      <w:r>
        <w:t>La présente cause est soumise aux maximes de disposition (art. 58 al. 1 CPC; ATF 128 III 411 consid. 3.2.2; arrêt du Tribunal fédéral 5A_693/2007 du 18 février 2008 consid. 6) et des débats (art. 277 al. 1 CPC) en ce qui concerne la contribution d'entretien après divorce due à l'intimée.</w:t>
      </w:r>
    </w:p>
    <w:p>
      <w:r>
        <w:rPr>
          <w:b/>
        </w:rPr>
        <w:t>E. 4</w:t>
      </w:r>
    </w:p>
    <w:p>
      <w:r>
        <w:t>4.1.1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w:t>
      </w:r>
    </w:p>
    <w:p>
      <w:r>
        <w:t>Il faut distinguer les "vrais nova" des "pseudo nova". Les "vrais nova" sont des faits et moyens de preuve qui ne sont survenus qu’après la fin des débats principaux, soit après la clôture des plaidoiries finales (ATF 138 III 788 consid. 4.2; ACJC/1659/2018 du 27 novembre 2018 consid. 2.1; TAPPY, in Code de procédure civile commenté, BOHNET/HALDY/JEANDIN/ SCHWEIZER/TAPPY,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ACJC/1659/2018 du 27 novembre 2018 consid. 2.1).</w:t>
      </w:r>
    </w:p>
    <w:p>
      <w:r>
        <w:t>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ACJC/1659/2018 du 27 novembre 2018 consid. 2.1). Ainsi,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(ATF 143 III 42 consid. 4.1; arrêt du Tribunal fédéral 5A_266/2016 du 24 juin 2015 consid. 3.2.2; ACJC/1659/2018 du 27 novembre 2018 consid. 2.1).</w:t>
      </w:r>
    </w:p>
    <w:p>
      <w:r>
        <w:t>- 9/18 -</w:t>
      </w:r>
    </w:p>
    <w:p>
      <w:r>
        <w:t>C/3691/2017</w:t>
      </w:r>
    </w:p>
    <w:p>
      <w:r>
        <w:t>Les faits et moyens de preuve nouveaux présentés tardivement doivent être déclarés irrecevables (ACJC/1659/2018 du 27 novembre 2018 consid. 2.1; JEANDIN, in Code de procédure civile commenté, BOHNET/ HALDY/ JEANDIN/ SCHWEIZER/TAPPY 2ème éd. 2019, n. 3 ad art. 317 CPC).</w:t>
      </w:r>
    </w:p>
    <w:p>
      <w:r>
        <w:t>4.1.2 Les faits notoires ou notoirement connus du tribunal et les règles d'expérience généralement reconnues ne doivent pas être prouvés (art. 151 CPC). Les faits notoires sont ceux dont l'existence est certaine au point d'emporter la conviction du juge, qu'il s'agisse de faits connus de manière générale du public ou seulement du juge (ATF 135 III 88 consid. 4.1; 134 III 224 consid. 5.2; ACJC/1659/2018 du 27 novembre 2018 consid. 2.1). Pour être notoire, un renseignement ne doit pas être constamment présent à l'esprit; il suffit qu'il puisse être contrôlé par des publications accessibles à chacun (ATF 135 III 88 consid. 4.1; 134 III 224 consid. 5.2).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380 consid. 1.2).</w:t>
      </w:r>
    </w:p>
    <w:p>
      <w:r>
        <w:rPr>
          <w:b/>
        </w:rPr>
        <w:t>E. 4.2</w:t>
      </w:r>
    </w:p>
    <w:p>
      <w:r>
        <w:t>En l'espèce, l'appel du 20 mai 2019 contient de nombreuses allégations nouvelles, sans que l'appelant n'explique pour quelle raison il n'aurait pas été en mesure de les formuler en première instance déjà. Dès lors, les allégations qui ne figurent pas dans la demande en divorce du 21 février 2017 ou dans la procédure de première instance sont irrecevables.</w:t>
      </w:r>
    </w:p>
    <w:p>
      <w:r>
        <w:t>Par ailleurs, l'appelant produit plusieurs pièces nouvelles. Il s'agit pour la plupart de pièces qui auraient pu être obtenues avant le 21 novembre 2018, date à laquelle le Tribunal a gardé la cause à juger (pièces 64 à 68 et 70). Lesdites pièces ne sont donc pas recevables.</w:t>
      </w:r>
    </w:p>
    <w:p>
      <w:r>
        <w:t>Quant à la pièce 69, l'appelant allègue qu'il s'agit d'une pièce relatant des faits notoires. Toutefois, le montant d'une rente AVS varie d'une personne à l'autre, de sorte qu'elle ne peut pas être considérée comme un fait notoire. Cette dernière pièce est donc également irrecevable.</w:t>
      </w:r>
    </w:p>
    <w:p>
      <w:r>
        <w:t>En définitive, la Cour examinera le litige exclusivement sur la base des allégués formulés et des pièces produites par l'appelant en première instance.</w:t>
      </w:r>
    </w:p>
    <w:p>
      <w:r>
        <w:rPr>
          <w:b/>
        </w:rPr>
        <w:t>E. 5</w:t>
      </w:r>
    </w:p>
    <w:p>
      <w:r>
        <w:t>L'appelant conteste l'octroi d'une contribution d'entretien à l'intimée. Il reproche au Tribunal de n'avoir pas imputé à l'intimée un revenu hypothétique malgré plusieurs éléments de preuve et indices démontrant l'existence d'une activité professionnelle cachée ainsi qu'une capacité résiduelle de travail dans une activité adaptée. Il reproche également, subsidiairement, au Tribunal de n'avoir pas limité</w:t>
      </w:r>
    </w:p>
    <w:p>
      <w:r>
        <w:t>- 10/18 -</w:t>
      </w:r>
    </w:p>
    <w:p>
      <w:r>
        <w:t>C/3691/2017 dans le temps la contribution d'entretien en faveur de l'intimée, alléguant qu'il subira une importante diminution de ses revenus dès qu'il atteindra l'âge légal de la retraite et que l'intimée bénéficiera quant à elle d'une nette amélioration de ses revenus lors de son accession à celle-ci.</w:t>
      </w:r>
    </w:p>
    <w:p>
      <w:r>
        <w:t>5.1.1 Aux termes de l'art. 125 al. 1 CC, si l'on ne peut raisonnablement attendre d'un époux qu'il pourvoie lui-même à son entretien convenable, y compris à la constitution d'une prévoyance vieillesse appropriée, son conjoint lui doit une contribution équitable.</w:t>
      </w:r>
    </w:p>
    <w:p>
      <w:r>
        <w:t>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138 III 289 consid. 11.1.2; 137 III 102 consid. 4.1.1; 132 III 598 consid. 9.1 et les arrêts cités; ACJC/1659/2018 du 27 novembre 2018 consid. 3.1).</w:t>
      </w:r>
    </w:p>
    <w:p>
      <w:r>
        <w:t>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141 III 465 consid. 3.1; 135 III 59 consid. 4.1; ACJC/1659/2018 du 27 novembre 2018 consid. 3.1).</w:t>
      </w:r>
    </w:p>
    <w:p>
      <w:r>
        <w:t>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ACJC/1659/2018 du 27 novembre 2018 consid. 3.1).</w:t>
      </w:r>
    </w:p>
    <w:p>
      <w:r>
        <w:t>Lorsqu'il s'agit de fixer la contribution à l'entretien d'un conjoint dont la situation financière a été concrètement et durablement influencée par le mariage, l'art. 125 CC prescrit de procéder en trois étapes pour en arrêter la quotité. La première de ces étapes consiste à déterminer l'entretien convenable; lorsque</w:t>
      </w:r>
    </w:p>
    <w:p>
      <w:r>
        <w:t>- 11/18 -</w:t>
      </w:r>
    </w:p>
    <w:p>
      <w:r>
        <w:t>C/3691/2017 l'union conjugale a eu une influence concrète sur la situation financière de l'époux bénéficiaire, le principe est que le standard de vie choisi d'un commun accord doit être maintenu pour les deux parties dans la mesure où leur situation financière le permet. Il s'agit de la limite supérieure de l'entretien convenable (ATF 137 III 102 consid. 4.2.3; 132 III 593 consid. 3.2; ACJC/1659/2018 du 27 novembre 2018 consid. 3.1).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les références citées; ACJC/1659/2018 du 27 novembre 2018 consid. 3.1).</w:t>
      </w:r>
    </w:p>
    <w:p>
      <w:r>
        <w:t>L'obligation d'entretien trouve sa limite dans la capacité contributive du débirentier, en ce sens que le minimum vital de celui-ci doit être préservé (arrêt du Tribunal fédéral 5A_662/2013 du 24 juin 2014 consid. 3.2.1; ATF 135 III 66 consid. 2; ACJC/1659/2018 du 27 novembre 2018 consid. 3.2).</w:t>
      </w:r>
    </w:p>
    <w:p>
      <w:r>
        <w:t>5.1.2 L'art. 125 CC ne fixe pas de limite à la durée de l'entretien post-divorce. Pour fixer la durée de la contribution d'entretien, le juge doit tenir compte de l'ensemble des critères énumérés non exhaustivement à l'art. 125 al. 2 CC (ATF 132 III 598 consid. 9.1), notamment des expectatives de l'assurance- 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 du Tribunal fédéral 5A_442/2014 du 27 août 2014 consid. 3.4.1; ACJC/1651/2018 du 27 novembre 2018 consid. 6.1).</w:t>
      </w:r>
    </w:p>
    <w:p>
      <w:r>
        <w:t>5.1.3 Lors de la fixation de la contribution à l'entretien, le juge doit en principe tenir compte des revenus effectifs. Il peut toutefois imputer à un époux - y compris le créancier de l'entretien (ATF 127 III 136 consid. 2c) -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III 4</w:t>
      </w:r>
    </w:p>
    <w:p>
      <w:r>
        <w:t>- 12/18 -</w:t>
      </w:r>
    </w:p>
    <w:p>
      <w:r>
        <w:t>C/3691/2017 consid. 4c/bb).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ACJC/1659/2018 du 27 novembre 2018 consid. 3.3).</w:t>
      </w:r>
    </w:p>
    <w:p>
      <w:r>
        <w:t>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consid. 5a; arrêts du Tribunal fédéral 5A_76/2009 du 4 mai 2009 consid. 6.2.3; 5C.320/2006 du 1er février consid. 5.6.2.2). La présomption peut être renversée, en fonction d'autres éléments qui plaideraient en faveur de la prise ou de l'augmentation d'une activité lucrative (cf. arrêts du Tribunal fédéral 5A_6/2009 du 30 avril 2009 consid. 2.2; 5A_76/2009 du 4 mai 2009 consid. 6.2.5; 5A_210/2008 du 14 novembre 2008 consid. 3.4 et 4.4, non publié in ATF 135 III 158). La limite d'âge tend à être augmentée à 50 ans (arrêt du Tribunal fédéral 5A_206/2010 du 21 juin 2010 consid. 5.3.2 et les arrêts cités). Cette contre-preuve du fait présumé que la partie adverse peut tenter d'apporter n'a pas à convaincre le juge, mais doit seulement affaiblir la preuve principale en éveillant des doutes dans l'esprit du juge (arrêts du Tribunal fédéral 5A_97/2017 et 5A_114/2017 du 23 août 2017 consid. 7.1.2.1 et les références citées; ACJC/1659/2018 du 27 novembre 2018 consid. 3.3).</w:t>
      </w:r>
    </w:p>
    <w:p>
      <w:r>
        <w:t>Le moment déterminant pour établir l'âge est celui de la séparation effective, à moins que le conjoint qui réclame une contribution d'entretien puisse de bonne foi considérer qu'il n'avait pas à obtenir des revenus propres (ATF 132 III 598 consid. 9.2; arrêts du Tribunal fédéral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du 23 août 2017 consid. 7.1.2.1). La limite de l'âge est déterminante pour une nouvelle entrée dans la vie active (arrêts du Tribunal fédéral 5A_97/2017 et 5A_114/2017 du 23 août 2017 consid. 7.1.2.1; ACJC/1659/2018 du 27 novembre 2018 consid. 3.3).</w:t>
      </w:r>
    </w:p>
    <w:p>
      <w:r>
        <w:t>5.1.4 Les directives élaborées par la Conférence des préposés aux poursuites et faillites de Suisse pour le calcul du minimum vital selon l'article 93 LP forment un</w:t>
      </w:r>
    </w:p>
    <w:p>
      <w:r>
        <w:t>- 13/18 -</w:t>
      </w:r>
    </w:p>
    <w:p>
      <w:r>
        <w:t>C/3691/2017 cadre pour la détermination des dépenses nécessaires et assurent une application uniforme du droit de la famille (CHAIX, CR CC I, n. 9 ad art 176). Le montant de base pour chaque époux (1'200 fr. pour un débiteur vivant seul) comprend notamment : les frais pour l'alimentation, les vêtements, les soins corporels et la santé, l'entretien du logement, les frais culturels ainsi que les dépenses pour l'éclairage et le courant électrique. Les autres charges indispensables sont les frais de logement (loyer et charges pour les locataires; intérêts hypothécaires, taxes et frais d'entretien pour les propriétaires), les coûts de santé (primes d'assurance-maladie) et les frais de déplacement du domicile au lieu de travail (à concurrence du coût de l'abonnement TPG) (ACJC/1659/2018 du 27 novembre 2018 consid. 3.4; CHAIX, op. cit., n. 9 ad art. 176; Normes d'insaisissabilité pour l'année 2017, RSG E 3 60.04).</w:t>
      </w:r>
    </w:p>
    <w:p>
      <w:r>
        <w:t>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ACJC/1659/2018 du 27 novembre 2018 consid. 3.4; BASTONS BULLETTI, L'entretien après divorce : méthodes de calcul, montant, durée et limites, in SJ 2007 II 77 ss, p. 81).</w:t>
      </w:r>
    </w:p>
    <w:p>
      <w:r>
        <w:t>Il en va de même pour les prestations d'assurance-vieillesse et d'assurance- invalidité complémentaires. Selon l'art. 9 de la loi fédérale sur les prestations complémentaires à l'AVS et à l'AI du 6 octobre 2006 (LPC; RS 831.30), le montant de la prestation complémentaire annuelle correspond à la part des dépenses reconnues qui excède les revenus déterminants. A cet égard, l'art. 11 al. 1 let. h LPC stipule que les pensions alimentaires prévues par le droit de la famille sont comprises dans les revenus déterminants. Ainsi, les prestations complémentaires à l'AVS et à l'AI sont subsidiaires aux obligations alimentaires, les premières n'étant dues que si les secondes, notamment, ne suffisent pas (arrêt du Tribunal fédéral 5A_158/2010 du 25 mars 2010 consid. 3.2 et les références citées).</w:t>
      </w:r>
    </w:p>
    <w:p>
      <w:r>
        <w:t>Lorsque les conditions financières des époux sont favorables, le juge peut également tenir compte d'autres frais, en particulier les assurances liées au logement (ménage, responsabilité civile), les cotisations aux associations professionnelles, les dépenses indispensables à l'exercice d'une profession (dépenses pour les repas pris hors du domicile, sur présentation de justificatifs; dépenses supérieures à la moyenne pour l'entretien des vêtements, à concurrence de 50 fr. par mois), les frais d'animaux domestiques (à hauteur de 50 fr. par mois), les pensions alimentaires dues en vertu de la loi que le débirentier a payé de manière avérée, les frais médicaux non couverts par l'assurance-maladie, ainsi que les impôts (cf. Normes d'insaisissabilité 2017; ATF 127 III 289; 127 III 68; 126 III 353; ACJC/1659/2018 du 27 novembre 2018 consid. 3.4).</w:t>
      </w:r>
    </w:p>
    <w:p>
      <w:r>
        <w:t>- 14/18 -</w:t>
      </w:r>
    </w:p>
    <w:p>
      <w:r>
        <w:t>C/3691/2017</w:t>
      </w:r>
    </w:p>
    <w:p>
      <w:r>
        <w:t>5.1.5 Chaque partie doit, si la loi ne prescrit le contraire, prouver les faits qu'elle allègue pour en déduire son droit (art. 8 CC).</w:t>
      </w:r>
    </w:p>
    <w:p>
      <w:r>
        <w:t>5.1.6 Le Tribunal ne peut accorder à une partie ni plus ni autre chose que ce qui est demandé, ni moins que ce qui est reconnu par la partie adverse (art. 58 al. 1 CPC).</w:t>
      </w:r>
    </w:p>
    <w:p>
      <w:r>
        <w:t>5.2.1 En l'espèce, il ressort du dossier que le mariage des parties a duré environ 34 ans, dont 25 ans de vie commune jusqu’à la séparation des parties en 2010. Il s'agit donc d'un mariage de longue durée. Un enfant, aujourd'hui majeur, est issu de cette union.</w:t>
      </w:r>
    </w:p>
    <w:p>
      <w:r>
        <w:t>Durant la vie commune des parties, l'intimée a brièvement exercé une activité professionnelle, avant de subir un accident du travail et de percevoir, depuis 1990, une rente entière d'invalidité. Suite à cela, l'entretien du ménage a été assuré en majeure partie par les revenus de l'appelant. Ces éléments permettent de retenir que le mariage a eu un impact sur la situation financière de l'intimée.</w:t>
      </w:r>
    </w:p>
    <w:p>
      <w:r>
        <w:t>Depuis la séparation des parties en 2010, il n'est pas établi que l'intimée aurait exercé une activité lucrative, l'appelant, qui allègue le contraire, n'ayant apporté sur ce point aucun élément concret de nature à rendre son affirmation ne serait-ce que vraisemblable (cf. considérant 5.2.3 ci-après).</w:t>
      </w:r>
    </w:p>
    <w:p>
      <w:r>
        <w:t>Le principe du versement d'une contribution d'entretien en faveur de l'intimée est par conséquent acquis, si celle-ci n'est pas en mesure de subvenir seule à ses besoins.</w:t>
      </w:r>
    </w:p>
    <w:p>
      <w:r>
        <w:t>5.2.2 Il convient de déterminer l'entretien convenable de l'intimée.</w:t>
      </w:r>
    </w:p>
    <w:p>
      <w:r>
        <w:t>Les charges mensuelles de celle-ci s'élèvent, en chiffres ronds et selon ce qu'a retenu le Tribunal, à 2'413 fr. (cf. EN FAIT considérant D.b). L'intimée n'allègue pas payer d'impôts.</w:t>
      </w:r>
    </w:p>
    <w:p>
      <w:r>
        <w:t>Les allégations de l'appelant relatives à la prise en charge par l'assurance invalidité de l'abonnement TPG de l'intimée et de son prétendu déménagement par pure convenance personnelle sont nouvelles, puisqu'elles n'ont été formulées qu'en appel; elles sont dès lors irrecevables et il n'en sera pas tenu compte.</w:t>
      </w:r>
    </w:p>
    <w:p>
      <w:r>
        <w:t>Comme mentionné ci-dessus, l'aide sociale ne constitue pas un revenu. Il en va de même des prestations d'assurance-vieillesse et d'assurance-invalidité complémentaires, lesquelles sont subsidiaires aux obligations alimentaires. Ainsi, seule la rente entière d'invalidité de 1'202 fr. par mois doit être prise en compte. Il s'ensuit dès lors que le budget de l'intimée est déficitaire de 1'212 fr. par mois (1'202 fr. – 2'414 fr.) et non de 600 fr. contrairement à ce qui a été retenu par le</w:t>
      </w:r>
    </w:p>
    <w:p>
      <w:r>
        <w:t>- 15/18 -</w:t>
      </w:r>
    </w:p>
    <w:p>
      <w:r>
        <w:t>C/3691/2017 premier juge, lequel a inclus à tort les prestations complémentaires dans les revenus de l'intimée.</w:t>
      </w:r>
    </w:p>
    <w:p>
      <w:r>
        <w:t>5.2.3 Il y a lieu d'examiner dans quelle mesure l'intimée peut financer elle-même cet entretien.</w:t>
      </w:r>
    </w:p>
    <w:p>
      <w:r>
        <w:t>L'intimée a travaillé par le passé en tant que blanchisseuse. Il résulte de la procédure qu'elle est au bénéfice d'une rente invalidité entière depuis 1990, suite à un accident du travail. Depuis lors, l'intimée n'a plus exercé d'activité lucrative pendant la vie commune des parties, soit jusqu'en 2010.</w:t>
      </w:r>
    </w:p>
    <w:p>
      <w:r>
        <w:t>L'appelant fait grief au premier juge de ne pas avoir pris en compte un revenu hypothétique mensuel de 1'162 fr. Il allègue d'une part que l'intimée exerce une activité professionnelle de coiffeuse et d'autre part qu'elle dispose d'une capacité résiduelle de travail dans une activité adaptée, malgré sa rente entière d'invalidité, laquelle est basée sur un taux de 70%. Toutefois, l'appelant n'apporte aucune preuve à ses allégations, les quelques pièces produites pendant la procédure de première instance ne démontrant pas que l'intimée exercerait une activité professionnelle, ni qu'elle serait en mesure de le faire. Par ailleurs, l'appelant a renoncé à l'audition du seul témoin qu'il entendait faire entendre sur ce point. Finalement, l'appelant mentionne une activité professionnelle de coiffeuse sans aucun lien avec le métier antérieur de l'intimée. Dans ces circonstances, l'appelant ne saurait être suivi lorsqu'il allègue qu'un revenu hypothétique de 1'162 fr. aurait dû être imputé à l'intimée par le premier juge, étant encore souligné que vu l'âge (59 ans) et l'état de santé de cette dernière, ainsi que son manque d'expérience professionnelle, il n'est pas envisageable qu'elle puisse retrouver du travail, de sorte que c'est à juste titre que le Tribunal ne lui a pas imputé un revenu hypothétique.</w:t>
      </w:r>
    </w:p>
    <w:p>
      <w:r>
        <w:t>Il s'ensuit que compte tenu de ses ressources insuffisantes, l'intimée n'est pas en mesure de couvrir l'intégralité de ses charges mensuelles.</w:t>
      </w:r>
    </w:p>
    <w:p>
      <w:r>
        <w:t>5.2.4 Reste à déterminer la capacité contributive de l'appelant et à arrêter une contribution en faveur de l'intimée.</w:t>
      </w:r>
    </w:p>
    <w:p>
      <w:r>
        <w:t>En l'espèce, le Tribunal a fait usage de la méthode dite du minimum vital, ce qui n'est pas contesté par les parties et correspond d'une part à leur situation financière modeste, et d'autre part au fait qu'il n'est ni allégué, ni démontré que les parties auraient réalisé des économies durant la vie commune.</w:t>
      </w:r>
    </w:p>
    <w:p>
      <w:r>
        <w:t>L'appelant a pris une retraite anticipée le 1er avril 2018, ses revenus mensuels s'élevant depuis cette date à 4'675 fr.</w:t>
      </w:r>
    </w:p>
    <w:p>
      <w:r>
        <w:t>S'agissant de ses charges, l'appelant ne s'est prévalu qu'en appel de montants relatifs à ses primes d'assurance maladie, à ses frais médicaux et à ses impôts</w:t>
      </w:r>
    </w:p>
    <w:p>
      <w:r>
        <w:t>- 16/18 -</w:t>
      </w:r>
    </w:p>
    <w:p>
      <w:r>
        <w:t>C/3691/2017 différents de ceux retenus par le Tribunal, alors qu'il aurait pu produire toutes pièces utiles devant le premier juge. Pour les raisons exposées ci-dessus sous considérant 4.2, ces allégations sont irrecevables.</w:t>
      </w:r>
    </w:p>
    <w:p>
      <w:r>
        <w:t>Les charges de l'appelant seront par conséquent retenues à hauteur de 3'692 fr. par mois.</w:t>
      </w:r>
    </w:p>
    <w:p>
      <w:r>
        <w:t>Ainsi, après déduction desdites charges, l'appelant dispose d'un solde positif de 983 fr. par mois (4'675 fr. – 3'692 fr.), qui lui permet de s'acquitter de la contribution à l'entretien de son ex-épouse de 600 fr. par mois, telle que fixée par le premier juge.</w:t>
      </w:r>
    </w:p>
    <w:p>
      <w:r>
        <w:t>Ce montant sera par conséquent confirmé, l'intimée ne l'ayant pas remis en cause et la Cour ne pouvant statuer "ultra petita". 5.2.5 Le premier juge a condamné l'appelant à verser à l'intimée la somme de 600 fr. par mois sans limite dans le temps, ce qu'il conteste, considérant qu'il ne saurait être contraint de continuer à s'acquitter de ce montant lorsqu'il accédera à l'âge ordinaire de la retraite, le 31 mars 2023. Il allègue pour la première fois en appel que ses revenus subiront alors une diminution drastique, dans la mesure où il ne bénéficiera plus de la rente supplétive versée par la G______ à titre de retraite anticipée. Toutefois, l'appelant n'a pas allégué ces faits en première instance, alors même qu'il aurait pu demander une projection à la G______ afin d'estimer le montant de ses revenus futurs; il le fait tardivement en appel, de sorte que ses allégations sur ce point sont irrecevables, pour les raisons déjà développées supra. L'appelant n'a par conséquent pas établi qu'il ne sera plus en mesure, lorsqu'il sera retraité, d'assumer le versement de la contribution d'entretien de 600 fr. par mois mise à sa charge. Reste à déterminer si le versement de cette contribution d'entretien doit se poursuivre au-delà de l'âge de la retraite de l'intimée, qui interviendra dans un peu moins de sept ans. L'intimée subira vraisemblablement un déficit de prévoyance, puisqu'elle n'a jamais cotisé au deuxième pilier, lequel ne sera pas comblé par la part des avoirs du deuxième pilier qui lui a été transférée suite au prononcé du divorce, le montant en cause étant en effet relativement modeste. Il est par ailleurs vraisemblable que les avoirs de l'intimée n'augmenteront plus. Cette dernière aura également des lacunes dans ses cotisations à l'AVS, de sorte qu'elle ne recevra pas une rente maximale. C'est par conséquent à juste titre que le Tribunal a alloué à l'intimée une rente sans la limiter dans le temps. L'appelant allègue encore que les revenus de l'intimée connaîtront une nette augmentation dès qu'elle atteindra l'âge légal de la retraite, dans la mesure où elle percevra alors une rente LPP, en sus de sa rente AVS. Toutefois, l'appelant allègue ces faits pour la première fois en appel, tardivement, de sorte que lesdites allégations sont également irrecevables.</w:t>
      </w:r>
    </w:p>
    <w:p>
      <w:r>
        <w:t>- 17/18 -</w:t>
      </w:r>
    </w:p>
    <w:p>
      <w:r>
        <w:t>C/3691/2017</w:t>
      </w:r>
    </w:p>
    <w:p>
      <w:r>
        <w:rPr>
          <w:b/>
        </w:rPr>
        <w:t>E. 6</w:t>
      </w:r>
    </w:p>
    <w:p>
      <w:r>
        <w:t>Les frais judiciaires d'appel seront fixés à 1'000 fr. (art. 95 et 96 CPC; art. 30 et 35 RTFMC) et entièrement compensés avec l'avance de frais fournie par l'appelant, qui reste acquise à l'Etat de Genève à due concurrence (art. 111 al. 1 CPC). Ils seront mis à la charge de l'appelant, qui succombe intégralement (art. 106 al. 1 CPC).</w:t>
      </w:r>
    </w:p>
    <w:p>
      <w:r>
        <w:t>Le solde de l'avance de frais, en 500 fr., sera restitué à l'appelant.</w:t>
      </w:r>
    </w:p>
    <w:p>
      <w:r>
        <w:t>Au vu de la nature familiale du litige, chaque partie supportera ses propres dépens d'appel (art. 95 al. 3 et 107 al. 1 let. c CPC). * * * * *</w:t>
      </w:r>
    </w:p>
    <w:p>
      <w:r>
        <w:t>- 18/18 -</w:t>
      </w:r>
    </w:p>
    <w:p>
      <w:r>
        <w:t>C/3691/2017 PAR CES MOTIFS, La Chambre civile : A la forme : Déclare recevable l'appel interjeté par A______ le 20 mai 2019 contre le jugement JTPI/4850/2019 rendu le 2 avril 2019 par le Tribunal de première instance dans la cause C/3691/2017-16. Au fond : Confirme ce jugement. Déboute les parties de toutes autres conclusions. Sur les frais : Arrête les frais judiciaires d'appel à 1'000 fr., compensés à due concurrence avec l'avance de frais fournie, acquise à l'Etat de Genève. Les met à la charge de A______. Invite les Services financiers du Pouvoir judiciaire à restituer à A______ la somme de 500 fr. Dit qu'il n'est pas alloué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