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ACJC/185/2025 vom 10. Februar 2025</w:t>
      </w:r>
    </w:p>
    <w:p>
      <w:r>
        <w:t>GE Cour de justice, 2025-02-10, FR</w:t>
      </w:r>
    </w:p>
    <w:p>
      <w:r>
        <w:rPr>
          <w:b/>
        </w:rPr>
        <w:t xml:space="preserve">Quelle: </w:t>
      </w:r>
      <w:r>
        <w:t>https://mcp.opencaselaw.ch/entscheid/ge_gerichte_ACJC_185_2025</w:t>
      </w:r>
    </w:p>
    <w:p>
      <w:r>
        <w:t>FR: GE_GERICHTE ACJC/185/2025 du 10 février 2025</w:t>
      </w:r>
    </w:p>
    <w:p>
      <w:r>
        <w:t>IT: GE_GERICHTE ACJC/185/2025 del 10 febbraio 2025</w:t>
      </w:r>
    </w:p>
    <w:p>
      <w:pPr>
        <w:pStyle w:val="Heading2"/>
      </w:pPr>
      <w:r>
        <w:t>Volltext</w:t>
      </w:r>
    </w:p>
    <w:p>
      <w:r>
        <w:t>Le présent arrêt est communiqué aux parties par plis recommandés du 10 février 2025.</w:t>
      </w:r>
    </w:p>
    <w:p>
      <w:r>
        <w:t>REPUBLIQUE ET</w:t>
      </w:r>
    </w:p>
    <w:p>
      <w:r>
        <w:t>CANTON DE GENEVE POUVOIR JUDICIAIRE C/22296/2024 ACJC/185/2025 ARRÊT DE LA COUR DE JUSTICE Chambre des baux et loyers DU LUNDI 10 FEVRIER 2025</w:t>
      </w:r>
    </w:p>
    <w:p>
      <w:r>
        <w:t>Entre Madame A______ et B______ SA, domiciliée et sise ______, appelantes d'un jugement rendu par le Tribunal des baux et loyers le 28 novembre 2024, représentées par Me Michael LAVERGNAT, avocat, rue de l'Arquebuse 14, 1204 Genève, et Madame C______ et Monsieur D______, domiciliés ______, intimés, représentés par [l'agence immobilière] E______.</w:t>
      </w:r>
    </w:p>
    <w:p>
      <w:r>
        <w:t>- 2/4 -</w:t>
      </w:r>
    </w:p>
    <w:p>
      <w:r>
        <w:t>C/22296/2024 Vu, EN FAIT, le jugement JTBL/1194/2024 rendu le 28 novembre 2024 par le Tribunal des baux et loyers, statuant par voie de procédure sommaire en protection de cas clair, condamnant notamment les locataires à évacuer immédiatement de leurs personnes et de leurs biens l'arcade n° 2 au rez-de-chaussée et le local en sous-sol de l'immeuble sis rue 1______ no. ______, à Genève (ch. 1 du dispositif), et autorisant les bailleurs à requérir l'évacuation des locataires par la force publique dès l'entrée en force du jugement (ch. 2); Vu l'appel formé le 3 février 2025 par les locataires contre ce jugement; Attendu qu'ils ont conclu à son annulation et à ce que la Cour déclare la requête en évacuation irrecevable; Qu'ils ont également, préalablement, conclu à l'octroi de l'effet suspensif à leur appel; Qu'interpellés, les bailleurs se sont rapportés à l'appréciation de la Cour; Que les parties ont été avisées le 7 février 2025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w:t>
      </w:r>
    </w:p>
    <w:p>
      <w:r>
        <w:t>- 3/4 -</w:t>
      </w:r>
    </w:p>
    <w:p>
      <w:r>
        <w:t>C/22296/2024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les appelantes remettent en cause la validité du congé de sorte que la valeur litigieuse est supérieure à 10'000 fr.; Qu'en conséquence, la voie de l'appel est ouverte contre le prononcé de l'évacuation;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selon la jurisprudence constante de la Chambre des baux et loyers, publiée sur le site internet du Pouvoir judiciaire, l'appel et le recours sont traités dans la même décision (art. 125 CPC); Que, dans la mesure où l'appel suspend les effets de la décision, cette suspension s'étend également aux mesures d'exécution; Que l'attention du conseil des appelantes sera attirée sur le fait que tout plaideur raisonnable se serait abstenu de requérir l'effet suspensif, connaissant ou devant connaître la jurisprudence de la Cour en la matière; Qu'ainsi, la requête de restitution de l'effet suspensif est sans objet. * * * * *</w:t>
      </w:r>
    </w:p>
    <w:p>
      <w:r>
        <w:t>- 4/4 -</w:t>
      </w:r>
    </w:p>
    <w:p>
      <w:r>
        <w:t>C/22296/2024</w:t>
      </w:r>
    </w:p>
    <w:p>
      <w:r>
        <w:t>PAR CES MOTIFS, La Présidente de la Chambre des baux et loyers : Constate la suspension de la force jugée et du caractère exécutoire du jugement JTBL/1194/2024 rendu le 28 novembre 2024 par le Tribunal des baux et loyers dans la cause C/22296/2024-1-SE. Dit que la requête d'effet suspensif est sans objet.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