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ACJC/1859/2020 vom 22. Dezember 2020</w:t>
      </w:r>
    </w:p>
    <w:p>
      <w:r>
        <w:t>GE Cour de justice, 2020-12-22, FR</w:t>
      </w:r>
    </w:p>
    <w:p>
      <w:r>
        <w:rPr>
          <w:b/>
        </w:rPr>
        <w:t xml:space="preserve">Quelle: </w:t>
      </w:r>
      <w:r>
        <w:t>https://mcp.opencaselaw.ch/entscheid/ge_gerichte_ACJC_1859_2020</w:t>
      </w:r>
    </w:p>
    <w:p>
      <w:r>
        <w:t>FR: GE_GERICHTE ACJC/1859/2020 du 22 décembre 2020</w:t>
      </w:r>
    </w:p>
    <w:p>
      <w:r>
        <w:t>IT: GE_GERICHTE ACJC/1859/2020 del 22 dicembre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w:t>
      </w:r>
    </w:p>
    <w:p>
      <w:r>
        <w:rPr>
          <w:b/>
        </w:rPr>
        <w:t>E. 2</w:t>
      </w:r>
    </w:p>
    <w:p>
      <w:r>
        <w:t>La recourante sollicite l'annulation du jugement prononçant sa faillite. Elle fait valoir être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Le non-paiement de créances de droit public peut constituer un indice de suspension des paiements (BRUNNER/BOLLER, Kommentar zum Bundesgesetz über Schuldbetreibung und Konkurs, 2ème éd., 2010, n. 13 ad art. 190 LP). Celle-</w:t>
      </w:r>
    </w:p>
    <w:p>
      <w:r>
        <w:t>- 5/7 -</w:t>
      </w:r>
    </w:p>
    <w:p>
      <w:r>
        <w:t>C/19558/2020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op. cit., n. 8 ad art. 174 LP).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LP est ainsi réalisée. Il résulte des pièces soumises à la recourante qu'elle a réglé quelques poursuites inscrites dans les livres de l'Office. De plus, aucune faillite n'a été prononcée à l'encontre de la recourante durant les cinq dernières années et aucune requête de faillite dans une poursuite ordinaire ou dans une poursuite pour effets de change n'est pendante. Par ailleurs, il résulte des plannings versés à la procédure que les places du salon de coiffure sont pleinement occupées. Les deux derniers exercices se sont soldés par des bénéfices. Enfin, les comptes commerciaux permettent de retenir que la recourante est en mesure d'honorer ses charges courantes. En définitive, la recourante a rendu vraisemblable qu'elle est solvable.</w:t>
      </w:r>
    </w:p>
    <w:p>
      <w:r>
        <w:t>- 6/7 -</w:t>
      </w:r>
    </w:p>
    <w:p>
      <w:r>
        <w:t>C/19558/2020</w:t>
      </w:r>
    </w:p>
    <w:p>
      <w:r>
        <w:rPr>
          <w:b/>
        </w:rPr>
        <w:t>E. 2.3</w:t>
      </w:r>
    </w:p>
    <w:p>
      <w:r>
        <w:t>Le recours se révèle dès lors fondé, de sorte que le chiffre 1 du dispositif du jugement sera ainsi annulé et la faillite rétractée (art. 327 al. 3 let. c CPC).</w:t>
      </w:r>
    </w:p>
    <w:p>
      <w:r>
        <w:rPr>
          <w:b/>
        </w:rPr>
        <w:t>E. 3.1</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Ceux-ci seront arrêtés à 220 fr. et compensés avec l'avance versée par elle, qui reste acquise à l'Etat de Genève (art. 111 al. 1 CPC).</w:t>
      </w:r>
    </w:p>
    <w:p>
      <w:r>
        <w:rPr>
          <w:b/>
        </w:rPr>
        <w:t>E. 3.2</w:t>
      </w:r>
    </w:p>
    <w:p>
      <w:r>
        <w:t>Il ne sera pas alloué de dépens à l'intimée, les démarches effectuées ne le justifiant pas (art. 95 al. 3 let. c CPC).</w:t>
      </w:r>
    </w:p>
    <w:p>
      <w:r>
        <w:rPr>
          <w:b/>
        </w:rPr>
        <w:t>E. 3.3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- 7/7 -</w:t>
      </w:r>
    </w:p>
    <w:p>
      <w:r>
        <w:t>C/19558/2020 PAR CES MOTIFS, La Chambre civile : A la forme : Déclare recevable lele recours interjeté le 13 novembre 2020 par A______ SARL contre le jugement JTPI/13710/2020 rendu le 9 novembre 2020 par le Tribunal de première instance dans la cause C/19558/2020-8 SFC. Au fond : Annule le chiffre 1 du dispositif du jugement attaqué. Rétracte la faillite de A______ SARL prononcée par le Tribunal le 9 novembre 2020. Confirme le jugement entrepris pour le surplus. Déboute les parties de toutes autres conclusions. Sur les frais : Arrête les frais judiciaires du recours à 220 fr., compensés avec l'avance de frais versée, acquise à l'Etat de Genève, et les met à la charge de A______ SARL.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