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ACJC/184/2024 vom 13. Februar 2024</w:t>
      </w:r>
    </w:p>
    <w:p>
      <w:r>
        <w:t>GE Cour de justice, 2024-02-13, FR</w:t>
      </w:r>
    </w:p>
    <w:p>
      <w:r>
        <w:rPr>
          <w:b/>
        </w:rPr>
        <w:t xml:space="preserve">Quelle: </w:t>
      </w:r>
      <w:r>
        <w:t>https://mcp.opencaselaw.ch/entscheid/ge_gerichte_ACJC_184_2024</w:t>
      </w:r>
    </w:p>
    <w:p>
      <w:r>
        <w:t>FR: GE_GERICHTE ACJC/184/2024 du 13 février 2024</w:t>
      </w:r>
    </w:p>
    <w:p>
      <w:r>
        <w:t>IT: GE_GERICHTE ACJC/184/2024 del 13 febbraio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 le litige porte notamment sur les droits parentaux, soit sur une affaire non pécuniaire, la voie de l'appel est ouverte indépendamment de la valeur litigieuse (arrêts du Tribunal fédéral 5A_781/2015 du 14 mars 2016 consid. 1; 5A_331/2015 du 20 janvier 2016 consid. 1). En l'espèce, formé en temps utile et selon la forme prescrite par la loi (art. 130 al. 1, 145 al. 1 let. b et 311 al. 1 CPC), l'appel est recevable.</w:t>
      </w:r>
    </w:p>
    <w:p>
      <w:r>
        <w:rPr>
          <w:b/>
        </w:rPr>
        <w:t>E. 1.2</w:t>
      </w:r>
    </w:p>
    <w:p>
      <w:r>
        <w:t>Dans son acte d'appel, l'appelant a indiqué agir contre l'intimée et contre sa fille mineure, représentée par sa mère. Il n'a toutefois formulé aucune critique contre le jugement attaqué en tant que celui-ci a retenu que les parties à la présente procédure étaient les père et mère de l'enfant, aucun d'eux n'agissant au</w:t>
      </w:r>
    </w:p>
    <w:p>
      <w:r>
        <w:t>- 20/29 -</w:t>
      </w:r>
    </w:p>
    <w:p>
      <w:r>
        <w:t>C/6730/2021 nom de celle-ci. Il n'a pas non plus sollicité la rectification de la qualité des parties. En tout état, dès lors qu'une telle rectification n'aurait aucune influence sur l'issue du litige, chacun des parents ayant la qualité pour agir/défendre selon les art. 286 al. 2 et 298d CC, point n'est besoin d'examiner cette question plus avant.</w:t>
      </w:r>
    </w:p>
    <w:p>
      <w:r>
        <w:rPr>
          <w:b/>
        </w:rPr>
        <w:t>E. 1.3</w:t>
      </w:r>
    </w:p>
    <w:p>
      <w:r>
        <w:t>La Cour de céans revoit la cause en fait et en droit avec un plein pouvoir d'examen (art. 310 CPC), dans la limite des griefs suffisamment motivés qui sont formulés (arrêts du Tribunal fédéral 4A_290/2014 du 1er septembre 2014 consid. 5; 5A_89/2014 du 15 avril 2014 consid. 5.3.2). Le litige, circonscrit au sort et à l'entretien de la fille mineure des parties, est soumis à la procédure simplifiée (art. 295 et 244 ss CPC) et aux maximes inquisitoire illimitée et d'office (art. 296 al. 1 et 3 CPC).</w:t>
      </w:r>
    </w:p>
    <w:p>
      <w:r>
        <w:rPr>
          <w:b/>
        </w:rPr>
        <w:t>E. 1.4</w:t>
      </w:r>
    </w:p>
    <w:p>
      <w:r>
        <w:t>Dans les causes de droit de la famille concernant des enfants mineurs, eu égard aux maximes applicables, tous les nova sont admis en appel, même si les conditions prévues par l'art. 317 al. CPC ne sont pas réalisées (ATF 144 III 349 consid. 4.2.1). Les allégués et faits nouveaux dont les parties se prévalent devant la Cour, qui portent sur leur situation financière respective et sur les modalités de prise en charge de leur fille, sont donc recevables.</w:t>
      </w:r>
    </w:p>
    <w:p>
      <w:r>
        <w:rPr>
          <w:b/>
        </w:rPr>
        <w:t>E. 2</w:t>
      </w:r>
    </w:p>
    <w:p>
      <w:r>
        <w:t>Le recourant fait grief au Tribunal d'avoir refusé de modifier la prise en charge de sa fille dans le sens d'une garde alternée, d'une part, et d'avoir refusé de supprimer la contribution d'entretien mise à sa charge, d'autre part. Selon lui, les parties disposaient de capacités parentales similaires et la reprise des relations personnelles père-fille, de même que leur élargissement progressif à compter de janvier 2023, s'étaient merveilleusement bien passés. Rien ne s'opposait à l'instauration d'une garde alternée "parfaite", C______ ayant besoin de son père et de sa mère, à parts égales, pour se construire. La mésentente parentale affectait essentiellement les relations entre les parties elles-mêmes, mais ne mettait pas en péril le bon développement de l'enfant, qui s'était manifestement adaptée aux changements dans l'organisation familiale et se sentait bien chez chacun de ses parents. Une garde alternée aurait également l'avantage de limiter les passages de l'enfant d'un parent à l'autre et, partant, de limiter les sources potentielles d'altercation. Contrairement à ce qu'avait retenu le premier juge, la distance entre son domicile et celui de l'intimée ne faisait pas obstacle à la garde partagée, puisqu'il avait besoin de seulement 30 minutes pour amener C______ à l'école ou chez sa mère.</w:t>
      </w:r>
    </w:p>
    <w:p>
      <w:r>
        <w:t>- 21/29 -</w:t>
      </w:r>
    </w:p>
    <w:p>
      <w:r>
        <w:t>C/6730/2021 2.1.1 A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III 604 consid. 4.1.1; arrêt du Tribunal fédéral 5A_788/2017 du 2 juillet 2018 consid. 5.1, non publié in ATF 144 III 349). 2.1.2 Lorsque le juge compétent est saisi d'une action alimentaire, il est également compétent pour modifier au besoin la manière dont l'autorité parentale ou les modalités d'exercice des relations personnelles ont été réglées (art. 298b al. 3 CC). Selon l'art. 298d CC, à la requête de l'un des parents ou de l'enfant ou encore d'office, l'autorité de protection de l'enfant - ou le juge compétent -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5A_951/2020 du 17 février 2021 consid. 4; 5A_756/2019 du 13 février 2020 consid. 3.1.1; 5A_406/2018 du 26 juillet 2018 consid. 3.1 et les références). Déterminer si une modification essentielle est survenue par rapport à la situation existant au moment où la décision initiale a été prise doit s'apprécier en fonction de toutes les circonstances du cas d'espèce et relève du pouvoir d'appréciation du juge (art. 4 CC; arrêts du Tribunal fédéral 5A_800/2021 du 25 janvier 2022 consid. 5.1; 5A_762/2020 du 9 février 2021 consid. 4.1).</w:t>
      </w:r>
    </w:p>
    <w:p>
      <w:r>
        <w:t>- 22/29 -</w:t>
      </w:r>
    </w:p>
    <w:p>
      <w:r>
        <w:t>C/6730/2021 Dans l'arrêt 5A_963/2021 du 1er septembre 2022, le Tribunal fédéral s'est prononcé dans le cadre d'une procédure dans laquelle le père sollicitait l'instauration d'une garde alternée et, en conséquence, la modification de décisions cantonales (procédure antérieure) ayant octroyé la garde exclusive de l'enfant à la mère, décisions dans lesquelles le critère de la stabilité de l'enfant de parents non- mariés avait été privilégié, afin de maintenir l'équilibre trouvé par l'enfant et de le ménager face à trois bouleversements significatifs (entrée à l'école, naissance d'une demi-sœur et déménagement). Le Tribunal fédéral a souligné que l'instauration d'une garde alternée avait été expressément réservée par les juges cantonaux dans la procédure antérieure et qu'une nouvelle évaluation de la situation pouvait être envisagée ultérieurement, une fois passés les évènements précités. Au vu des circonstances particulières du cas d'espèce, l'écoulement du temps constituait le fait nouveau à examiner dans la perspective du bien de l'enfant et l'on ne pouvait s'abstenir d'examiner si la situation désormais stabilisée de l'enfant recommandait d'envisager, dans son intérêt, la mise en place d'une garde alternée, dès lors que s'y refuser reviendrait à priver le père de toute perspective d'élargissement de ses prérogatives parentales, pourtant réservée dans la procédure antérieure (consid. 3.3.1 et 3.3.2). 2.1.3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Bien que l'autorité parentale conjointe soit désormais la règle et qu'elle comprenne le droit de déterminer le lieu de résidence de l'enfant (art. 296 al. 2, 301a al. 1 CC), elle n'implique pas nécessairement l'instauration d'une garde alternée (ATF 142 III 617 consid. 3.2.3). Ainsi, la garde de fait sur l'enfant peut être attribuée à un seul des parents même lorsque l'autorité parentale demeure conjointe.</w:t>
      </w:r>
    </w:p>
    <w:p>
      <w:r>
        <w:t>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w:t>
      </w:r>
    </w:p>
    <w:p>
      <w:r>
        <w:t>- 23/29 -</w:t>
      </w:r>
    </w:p>
    <w:p>
      <w:r>
        <w:t>C/6730/2021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arrêts du Tribunal fédéral 5A_66/2019 du 5 novembre 2019 consid. 4.1; 5A_34/2017 du 4 mai 2017 consid. 5.1).</w:t>
      </w:r>
    </w:p>
    <w:p>
      <w:r>
        <w:t>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2.1.4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A cet égard, il est unanimement reconnu que le rapport de l'enfant avec ses deux parents est essentiel et qu'il peut jouer un rôle décisif dans le processus de recherche d'identité de l'enfant</w:t>
      </w:r>
    </w:p>
    <w:p>
      <w:r>
        <w:t>- 24/29 -</w:t>
      </w:r>
    </w:p>
    <w:p>
      <w:r>
        <w:t>C/6730/2021 (ATF 130 III 585 consid. 2.2.2; 127 III 295 consid. 4a; arrêts du Tribunal fédéral 5A_887/2017 du 16 février 2018 consid. 5.3; 5A_184/2017 du 8 juin 2017 consid. 4.1). La fixation du droit aux relations personnelles relève de l'appréciation du juge du fait, qui jouit pour cela d'un large pouvoir et applique les règles du droit et de l'équité (arrêt du Tribunal fédéral 5A_669/2019 du 7 février 2020 consid. 6.3). 2.1.5 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(parmi d'autres : ACJC/1431/2020 du 6 octobre 2020 consid. 2.2; ACJC/1311/2017 du 11 octobre 2017 consid. 3.1.2; ACJC/993/2017 du 10 août 2017 consid. 5.1; ACJC/372/2017 du 28 mars 2017 consid. 5.1). 2.2.1 Dans le cas d'espèce, les modalités de la pris en charge de la mineure par ses parents ont été réglées par ordonnance du TPAE du 19 juillet 2019, partiellement modifiée par arrêt de la Cour du 27 janvier 2020. Dans cette dernière décision, la Cour a retenu qu'il était conforme à l'intérêt de C______, bientôt âgée de 3 ans, d'élargir progressivement les relations personnelles père-enfant, étant souligné que les capacités du père à s'occuper convenablement de sa fille n'étaient pas remises en cause. Il n'en restait pas moins que la mineure était régulièrement exposée aux tensions de ses parents et qu'elle commençait à être affectée par le conflit parental, ce qui avait nécessité une évaluation pédopsychiatrique. S'il était certes important que le contact entre la mineure et son père soit maintenu de manière régulière, il était également important de préserver l'enfant du conflit qui animait ses parents et de limiter, en conséquence, les contacts entre ces derniers au moment des échanges, hors cadre thérapeutique. Le fait de prévoir un droit de visite à raison d'un weekend sur deux</w:t>
      </w:r>
    </w:p>
    <w:p>
      <w:r>
        <w:t>- 25/29 -</w:t>
      </w:r>
    </w:p>
    <w:p>
      <w:r>
        <w:t>C/6730/2021 et, en alternance, d'un mercredi sur deux dès 17h jusqu'au lendemain matin, permettait à l'enfant de pouvoir profiter plus longtemps et plus souvent de son père, tout en limitant son exposition au conflit parental, susceptible d'entraver son bon développement. La possibilité de réévaluer la situation et, cas échéant, d'instaurer une garde alternée en cas d'évolution positive du droit de visite paternel n'a pas été réservée par la Cour, ni même évoquée. Environ quinze mois après le prononcé de l'arrêt susvisé, le 6 avril 2021, l'appelant a sollicité la modification des droits parentaux de façon à instaurer une garde alternée sur sa fille, alors âgée de 4 ans. Dans le cadre de l'instruction du dossier, le Tribunal a recueilli les recommandations du SEASP qui a rendu deux rapports d'évaluation sociale, préconisant de maintenir la garde de fait de l'enfant auprès de sa mère. Le SEASP a notamment souligné que l'appelant était un père investi auprès de sa fille, avec qui il entretenait une relation de qualité, mais que la dynamique familiale demeurait fortement marquée par le conflit parental, qui n'avait eu de cesse de s'amplifier et auquel l'enfant était régulièrement confrontée. L'altercation du 3 avril 2021 - vécue comme un réel traumatisme par C______, quoi qu'en dise l'appelant - et les événements survenus en mars-avril 2022 avaient encore renforcé le climat de méfiance, voire de franche animosité, qui régnait entre les parties et dont la mineure n'était nullement préservée. Cette mésentente et l'absence de toute communication entre les père et mère empêchaient l'enfant de s'extraire des tensions parentales et de trouver une place sereine et stable entre ses parents, ce qui risquait, à terme, de nuire à son bon développement. Dans ce contexte, une garde alternée n'était pas envisageable, ce qui a été confirmé par la pédopsychiatre de l'enfant. En outre, il fallait tenir compte du besoin de stabilité de C______ qui, malgré son jeune âge, avait déjà connu de nombreux changements (séparation des parents, élargissement du droit de visite du père, suspension et reprise de celui-ci, concubinage de la mère, naissance d'un demi- frère et d'une demi-sœur), auxquels elle avait dû s'adapter. Même si l'intérêt bien compris de l'enfant était d'entretenir des relations étroites avec ses deux parents, il convenait de lui laisser le temps de trouver son équilibre au sein de sa famille élargie, à l'abri de toute pression et en douceur, sans lui imposer de changements trop abrupts. Dans ces circonstances, comme l'a retenu le Tribunal, il apparaît que la communication défectueuse des parents et leur faible capacité (et volonté) à collaborer entre eux ne permettent pas d'envisager l'instauration d'une garde alternée. La situation n'a d'ailleurs pas évolué suite au prononcé du jugement. Il ressort en effet des courriels échangés entre le curateur et les parties à l'été 2023 que l'appelant reste centré sur les sujets de discorde et peine à se montrer constructif dans ses rares échanges avec l'intimée au sujet de leur fille, ce qui n'est pas compatible avec le bien de l'enfant et ne fait qu'alimenter les tensions auxquelles elle est soumise.</w:t>
      </w:r>
    </w:p>
    <w:p>
      <w:r>
        <w:t>- 26/29 -</w:t>
      </w:r>
    </w:p>
    <w:p>
      <w:r>
        <w:t>C/6730/2021 Au regard de ces différents éléments, c'est à raison que le Tribunal a retenu que le bien de l'enfant ne commandait pas de modifier le mode de garde actuel à la faveur d'une garde alternée. Au contraire, les difficultés susmentionnées, dont rien ne permet d'espérer une amélioration prochaine, laissent présager que la mise en œuvre d'une garde partagée aurait pour effet de multiplier les sources de désaccord entre les père et mère et, partant, d'exposer l'enfant de manière accrue aux querelles parentales, ce qui lui serait préjudiciable. Par conséquent, la décision du premier juge de maintenir la garde de l'enfant en faveur de l'intimée n'est pas critiquable. S'agissant du droit de visite, le Tribunal a considéré, à juste titre, qu'il était important que la reprise des relations personnelles père-enfant puisse se poursuivre de façon progressive, jusqu'à atteindre les modalités mises en place avant le début de la procédure. C'est également à juste titre qu'il a considéré qu'en l'état des relations parentales, il n'était pas souhaitable d'étendre le droit de visite en semaine au-delà de deux nuits par quinzaine, étant précisé que l'enfant était désormais scolarisée et que les domiciles respectifs des parties étaient relativement éloignés, ce qui nécessitait une plus grande organisation. L'appelant n'expose pas en quoi ces modalités, qui correspondent à peu de choses près à celles qui prévalaient en janvier 2020, seraient contraires aux intérêts de l'enfant et il n'existe aucun élément au dossier permettant de retenir qu'elles ne seraient pas appropriées. Le droit de visite fixé apparaît en effet en adéquation avec le jeune âge de C______ et demeure dans la continuité de ce qui a prévalu jusqu'ici. L'enfant évolue par ailleurs favorablement, ce qui tend à démontrer que cette réglementation est conforme à son bien. Son maintien permettra de surcroît d'assurer une certaine stabilité à C______ dans sa prise en charge quotidienne, ce qui ne peut que lui être bénéfique au vu des nombreux changements successifs auxquels elle a récemment dû faire face. Il résulte de ce qui précède que les modalités fixées par le premier juge quant à la garde et aux relations personnelles sont adéquates au vu des besoins de C______, étant rappelé que les besoins de la mineure doivent prévaloir sur ceux de ses père et mère. Les chiffres 2 et 3 du dispositif du jugement attaqué seront dès lors confirmés. Au surplus, l'appelant n'a pas formulé de griefs motivés contre les chiffres 4 à 6 du dispositif de ce jugement, de sorte que ceux-ci - qui sont par ailleurs conformes à l'intérêt de la mineure - seront également confirmés. 2.2.2 Sur le plan financier, le Tribunal a retenu que l'appelant ne se prévalait d'aucun fait nouveau qui justifierait de modifier la contribution d'entretien en faveur de C______, telle que décidée librement par les parties dans leur transaction du 13 décembre 2017. La charge d'entretien de l'enfant n'était pas excessivement lourde pour l'appelant, puisqu'elle ne représentait pas même un</w:t>
      </w:r>
    </w:p>
    <w:p>
      <w:r>
        <w:t>- 27/29 -</w:t>
      </w:r>
    </w:p>
    <w:p>
      <w:r>
        <w:t>C/6730/2021 tiers du solde disponible dont il admettait bénéficier. Un déséquilibre de cette charge entre les parties était quoi qu'il en soit exclu vu la modicité du salaire réalisé par l'intimée. Celle-ci assumait par ailleurs sa part à l'entretien de l'enfant "en nature", de sorte qu'il revenait à l'appelant de couvrir le volet financier de l'entretien de C______. Le fait que le minimum vital du droit de la famille de l'enfant était - après déduction des allocations familiales - inférieur à la contribution versée par l'appelant ne justifiait pas non plus de modifier la quotité de cette contribution. En effet, en cas de situation bénéficiaire, l'entretien convenable de l'enfant comprenait une part convenable à l'excédent du parent débirentier, dite part devant servir à couvrir, notamment, les activités extrascolaires de l'enfant, ainsi que ses frais de loisirs et de vacances. Eu égard au très large disponible de l'appelant, une contribution d'entretien de 1'000 fr. par mois, allocations familiales en sus, n'avait rien d'excessif. Cette appréciation n'est pas critiquable et doit être approuvée. L'appelant n'a du reste formulé aucun grief motivé sur ce point. En conséquence, le jugement attaqué sera intégralement confirmé.</w:t>
      </w:r>
    </w:p>
    <w:p>
      <w:r>
        <w:rPr>
          <w:b/>
        </w:rPr>
        <w:t>E. 3</w:t>
      </w:r>
    </w:p>
    <w:p>
      <w:r>
        <w:t>Les frais judiciaires d'appel, arrêtés à 1'000 fr., seront mis à la charge de l'appelant, qui succombe (art. 106 al. 1 CPC), et compensés avec l'avance de frais versée, laquelle reste acquise à l'Etat de Genève (art. 32 et 35 RTFMC; art. 111 al. 1 CPC). Compte tenu de la nature familiale du litige, chaque partie supportera ses propres dépens d'appel (art. 107 al. 1 let. c CPC). * * * * *</w:t>
      </w:r>
    </w:p>
    <w:p>
      <w:r>
        <w:t>- 28/29 -</w:t>
      </w:r>
    </w:p>
    <w:p>
      <w:r>
        <w:t>C/6730/2021</w:t>
      </w:r>
    </w:p>
    <w:p>
      <w:r>
        <w:t>PAR CES MOTIFS, La Chambre civile :</w:t>
      </w:r>
    </w:p>
    <w:p>
      <w:r>
        <w:t>A la forme : Déclare recevable l'appel interjeté le 22 août 2023 par A______ contre le jugement JTPI/7069/2023 rendu le 16 juin 2023 par le Tribunal de première instance dans la cause C/6730/2021. Au fond : Confirme ce jugement. Déboute les parties de toutes autres conclusions. Sur les frais : Arrête les frais judiciaires d'appel à 1'000 fr., les met à la charge de A______ et les compense avec l'avance fournie, qui reste acquise à l'Etat de Genève. Dit que chaque partie supporte ses propres dépens d'appel. Siégeant : Madame Nathalie RAPP, présidente;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- 29/29 -</w:t>
      </w:r>
    </w:p>
    <w:p>
      <w:r>
        <w:t>C/6730/2021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