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ACJC/184/2015 vom 20. Februar 2015</w:t>
      </w:r>
    </w:p>
    <w:p>
      <w:r>
        <w:t>GE Cour de justice, 2015-02-20, FR</w:t>
      </w:r>
    </w:p>
    <w:p>
      <w:r>
        <w:rPr>
          <w:b/>
        </w:rPr>
        <w:t xml:space="preserve">Quelle: </w:t>
      </w:r>
      <w:r>
        <w:t>https://mcp.opencaselaw.ch/entscheid/ge_gerichte_ACJC_184_2015</w:t>
      </w:r>
    </w:p>
    <w:p>
      <w:r>
        <w:t>FR: GE_GERICHTE ACJC/184/2015 du 20 février 2015</w:t>
      </w:r>
    </w:p>
    <w:p>
      <w:r>
        <w:t>IT: GE_GERICHTE ACJC/184/2015 del 20 febbraio 2015</w:t>
      </w:r>
    </w:p>
    <w:p>
      <w:pPr>
        <w:pStyle w:val="Heading2"/>
      </w:pPr>
      <w:r>
        <w:t>Erwägungen</w:t>
      </w:r>
    </w:p>
    <w:p>
      <w:r>
        <w:rPr>
          <w:b/>
        </w:rPr>
        <w:t>E. 1.1</w:t>
      </w:r>
    </w:p>
    <w:p>
      <w:r>
        <w:t>En matière de mainlevée d'opposition, seule la voie du recours est ouverte (art. 309 lit. b ch. 3 et 319 let.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 Partant, pour examiner si la loi a été violée, la Cour doit se placer dans la situation où se trouvait le premier juge lorsqu'il a rendu la décision attaquée. Les faits nouveaux et les pièces nouvelles du recourant sont ainsi irrecevables. La Cour examinera la cause sur la base de l'état de fait tel qu'il a été exposé ci-dessus sous lettre 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1.4</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Le recourant reproche au Tribunal d'avoir retenu que l'intimé disposait d'un titre de mainlevée provisoire, alors que l'offre de services ne contenait qu'une simple</w:t>
      </w:r>
    </w:p>
    <w:p>
      <w:r>
        <w:t>- 6/9 -</w:t>
      </w:r>
    </w:p>
    <w:p>
      <w:r>
        <w:t>C/12282/2014 estimation des honoraires, comprenant une fourchette qui ne devait pas être considérée comme acquise, dans la mesure où la facture finale pouvait dépasser le montant de l'estimation. Par ailleurs, les factures produites par l'intimé n'établissaient pas la bonne exécution du mandat, laquelle avait été contestée par le recourant, de l'aveu même de l'intimé.</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w:t>
      </w:r>
    </w:p>
    <w:p>
      <w:r>
        <w:t>Un contrat écrit justifie en principe la mainlevée provisoire de l'opposition pour la somme d'argent incombant au poursuivi si les conditions d'exigibilité de la dette</w:t>
      </w:r>
    </w:p>
    <w:p>
      <w:r>
        <w:t>- 7/9 -</w:t>
      </w:r>
    </w:p>
    <w:p>
      <w:r>
        <w:t>C/12282/2014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w:t>
      </w:r>
    </w:p>
    <w:p>
      <w:r>
        <w:rPr>
          <w:b/>
        </w:rPr>
        <w:t>E. 2.2</w:t>
      </w:r>
    </w:p>
    <w:p>
      <w:r>
        <w:t>En l'espèce, les titres invoqués dans le commandement de payer sont l'offre de services du 17 mai 2013, rédigée par l'intimé et acceptée le 27 mai 2013 par le recourant (ci-après : la convention), ainsi que les factures des 19 et 30 juin 2013 établies par l'intimé et non signées par le recourant. Il résulte de la convention conclue entre les parties que les honoraires de l'intimé devaient être fixés selon le temps consacré à l'activité convenue, à savoir l'assistance à la création du business plan, sur la base d'un tarif horaire de 120 fr., plus la TVA et les frais (2.5% au maximum). La facturation devait se faire mensuellement. L'intimé, se référant à son expérience, estimait ses honoraires pour les services convenus à un montant compris entre 3'600 fr. et 4'200 fr., en précisant toutefois expressément que cette estimation ne pouvait pas être considérée comme un arrangement forfaitaire. Ainsi, la convention ne peut être considérée comme un titre de mainlevée suffisant, dans la mesure où elle ne mentionne pas des honoraires convenus déterminés ou aisément déterminables. L'intimé s'est réservé expressément la possibilité de dépasser le haut de la fourchette d'estimation. D'ailleurs, si les deux factures faisant l'objet de la poursuite totalisent 3968 fr. HT, l'intimé a établi le 26 août 2013 une troisième facture de 538 fr. 80 HT, ce qui porte les honoraires HT pour l'activité des mois de mai et juin 2013 à 4'506 fr. 80, soit un montant qui dépasse la limite supérieure estimée par l'intimé dans la convention. La requête de mainlevée devait être rejetée pour ce motif déjà. Par ailleurs, le recourant fait valoir que l'intimé n'a pas correctement et intégralement exécuté la prestation convenue. Les pièces produites par l'intimé ne prouvent pas le contraire, les factures et time sheet établis par celui-ci étant insuffisants et les titres déposés devant la Cour étant irrecevables. La requête de mainlevée devait être refusée pour ce motif également.</w:t>
      </w:r>
    </w:p>
    <w:p>
      <w:r>
        <w:rPr>
          <w:b/>
        </w:rPr>
        <w:t>E. 2.3</w:t>
      </w:r>
    </w:p>
    <w:p>
      <w:r>
        <w:t>Au vu de ce qui précède, le recours sera admis, le jugement annulé et la requête de mainlevée de l'opposition formée par le recourant au commandement de payer, poursuite n° 1______, rejetée. Il n'est pas nécessaire de dire que la poursuite n'ira pas sa voie, puisque le créancier, lorsque le débiteur a formé</w:t>
      </w:r>
    </w:p>
    <w:p>
      <w:r>
        <w:t>- 8/9 -</w:t>
      </w:r>
    </w:p>
    <w:p>
      <w:r>
        <w:t>C/12282/2014 opposition, ne peut requérir la continuation de la poursuite sans un jugement de mainlevée. 3. Lorsque l'instance de recours statue à nouveau, elle se prononce sur les frais de première instance (art. 318 al. 3 CPC par analogie). Le jugement entrepris étant, en l'espèce, annulé, les frais de première instance, fixés à 200 fr. (art. 48 OELP), seront laissés à la charge de l'intimé, qui en avait fait l'avance, laquelle reste acquise à l'Etat de Genève (art. 111 al. 1 CPC). Les frais du recours, comprenant également l'émolument forfaitaire relatif à la décision concernant l'octroi de l'effet suspensif, seront arrêtés à 300 fr., avancés par le recourant (art. 61 OELP) et dûment compensés par cette avance (art. 111 CPC). Ces frais seront mis à la charge de l'intimé, qui succombe (art. 106 al. 1 CPC). Il sera condamné à les rembourser au recourant. L'intimé sera également condamné aux dépens du recourant arrêtés à 700 fr., débours et TVA compris, pour les deux instances (art. 95 al. 3, 105 al. 2 et 106 al. 1 CPC; art. 85 al. 1, 89 et 90 RTFMC; 25 et 26 LaCC). * * * * *</w:t>
      </w:r>
    </w:p>
    <w:p>
      <w:r>
        <w:t>- 9/9 -</w:t>
      </w:r>
    </w:p>
    <w:p>
      <w:r>
        <w:t>C/12282/2014 PAR CES MOTIFS, La Chambre civile : A la forme : Déclare recevable l'appel interjeté le 10 novembre 2014 par A______ contre le jugement JTPI/13499/2014 rendu le 27 octobre 2014 par le Tribunal de première instance dans la cause C/12282/2014-8 SML. Au fond : Annule le jugement entrepris. Cela fait, statuant à nouveau : Rejette la requête de mainlevée provisoire de l'opposition formée au commandement de payer poursuite no 1______ déposée le 19 juin 2014 par B______ à l'encontre d'A______. Sur les frais : Arrête les frais judiciaires de première instance à 200 fr. et ceux du recours à 300 fr., les met à la charge de B______ et dit qu'ils sont compensés avec les avances fournies par les parties, qui restent acquises à l'Etat. Condamne B______ à verser à A______ 300 fr. à titre de remboursement des frais judiciaires du recours. Condamne B______ à verser 700 fr. à A______, à titre de dépens des deux instances.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 15 octobre 2007 consid. 3.1; cf. aussi, en matière de bail, STAEHELIN, op. cit., n. 117 s. ad art. 82 LP et KRAUSKOPF, La mainlevée provisoire: quelques jurisprudences récentes, in JdT 2008 II p. 23 ss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