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ACJC/1843/2019 vom 16. Dezember 2019</w:t>
      </w:r>
    </w:p>
    <w:p>
      <w:r>
        <w:t>GE Cour de justice, 2019-12-16, FR</w:t>
      </w:r>
    </w:p>
    <w:p>
      <w:r>
        <w:rPr>
          <w:b/>
        </w:rPr>
        <w:t xml:space="preserve">Quelle: </w:t>
      </w:r>
      <w:r>
        <w:t>https://mcp.opencaselaw.ch/entscheid/ge_gerichte_ACJC_1843_2019</w:t>
      </w:r>
    </w:p>
    <w:p>
      <w:r>
        <w:t>FR: GE_GERICHTE ACJC/1843/2019 du 16 décembre 2019</w:t>
      </w:r>
    </w:p>
    <w:p>
      <w:r>
        <w:t>IT: GE_GERICHTE ACJC/1843/2019 del 16 dicembre 2019</w:t>
      </w:r>
    </w:p>
    <w:p>
      <w:pPr>
        <w:pStyle w:val="Heading2"/>
      </w:pPr>
      <w:r>
        <w:t>Erwägungen</w:t>
      </w:r>
    </w:p>
    <w:p>
      <w:r>
        <w:rPr>
          <w:b/>
        </w:rPr>
        <w:t>E. 1.1</w:t>
      </w:r>
    </w:p>
    <w:p>
      <w:r>
        <w:t>L'appel est recevable contre les décisions sur mesures provisionnelles (art. 308 al. 1 let. b CPC) dont la valeur litigieuse au dernier état des conclusions est de 10'000 fr. au moins (art.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w:t>
      </w:r>
    </w:p>
    <w:p>
      <w:r>
        <w:t>- 5/9 -</w:t>
      </w:r>
    </w:p>
    <w:p>
      <w:r>
        <w:t>C/14275/2019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2ème éd., 2019, p. 271). L'appelant réclame la restitution de la possession exclusive des locaux qu'il occupait.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w:t>
      </w:r>
    </w:p>
    <w:p>
      <w:r>
        <w:rPr>
          <w:b/>
        </w:rPr>
        <w:t>E. 1.2</w:t>
      </w:r>
    </w:p>
    <w:p>
      <w:r>
        <w:t>En l'espèce, le sous-loyer mensuel de l'appartement s'élève à 455 fr., charges comprises, et le sous-bail ayant été conclu pour une durée indéterminée, la valeur capitalisée du montant du loyer selon l'art. 92 al. 1 CPC est supérieure à 10'000 fr. La voie de l'appel est ainsi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soutient qu'il dispose d'un droit préférable au sens de l'art. 927 al. 2 CC puisqu'il est titulaire du bail depuis 2004 et que c'est par complaisance qu'il a conclu le contrat de sous-location avec l'intimée, après la fin de sa relation de couple, afin que cette dernière puisse bénéficier de l'aide de l'Hospice général. Le contraindre à reprendre une cohabitation avec l'intimée créerait une situation "grotesque et absurde".</w:t>
      </w:r>
    </w:p>
    <w:p>
      <w:r>
        <w:rPr>
          <w:b/>
        </w:rPr>
        <w:t>E. 2.1</w:t>
      </w:r>
    </w:p>
    <w:p>
      <w:r>
        <w:t>L'intimée a réclamé le prononcé de mesures superprovisionnelles et provisionnelles dans la cadre de son action fondée sur l'art. 927 CC, aux termes de laquelle elle prend des conclusions "au fond", étant relevé que les décisions sur l'action possessoire au sens de l'art. 927 CC sont des décisions portant sur des mesures provisionnelles au sens de l'art. 98 LTF (ATF 144 III 145 consid. 2).</w:t>
      </w:r>
    </w:p>
    <w:p>
      <w:r>
        <w:rPr>
          <w:b/>
        </w:rPr>
        <w:t>E. 2.1.1</w:t>
      </w:r>
    </w:p>
    <w:p>
      <w:r>
        <w:t>Selon l'art. 261 CPC, le tribunal ordonne les mesures provisionnelles nécessaires lorsque le requérant rend vraisemblable qu'une prétention dont il est</w:t>
      </w:r>
    </w:p>
    <w:p>
      <w:r>
        <w:t>- 6/9 -</w:t>
      </w:r>
    </w:p>
    <w:p>
      <w:r>
        <w:t>C/14275/2019 titulaire est l'objet d'une atteinte ou risque de l'être (let. a) et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CPC, 2019, n. 3 ss ad art. 261 CPC).</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2011 consid. 4).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w:t>
      </w:r>
    </w:p>
    <w:p>
      <w:r>
        <w:rPr>
          <w:b/>
        </w:rPr>
        <w:t>E. 2.1.2</w:t>
      </w:r>
    </w:p>
    <w:p>
      <w:r>
        <w:t>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Le degré de la preuve exigé par l'art. 927 al. 1 CC est la certitude (voller Beweis); la simple vraisemblance (blosses Glaubhaftmachen) ne suffit pas</w:t>
      </w:r>
    </w:p>
    <w:p>
      <w:r>
        <w:t>- 7/9 -</w:t>
      </w:r>
    </w:p>
    <w:p>
      <w:r>
        <w:t>C/14275/2019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(arrêt du Tribunal fédéral 5A_98/2010 du 7 mai 2010 consid. 4.1.1). Lorsqu'il doit prononcer le rétablissement de l'état de fait antérieur, le juge doit uniquement rechercher qui, du demandeur ou du défendeur, avait la maîtrise effective de la chose précédemment, c'est-à-dire avant l'acte d'usurpation illicite. Ainsi, selon la jurisprudence, celui qui est au bénéfice d'un contrat de bail peut, en tant que possesseur des lieux loués, repousser par la force les actes d'usurpation émanant de celui qui se croirait au bénéfice d'un droit (ATF 40 II 329 consid. 3).</w:t>
      </w:r>
    </w:p>
    <w:p>
      <w:r>
        <w:rPr>
          <w:b/>
        </w:rPr>
        <w:t>E. 2.2</w:t>
      </w:r>
    </w:p>
    <w:p>
      <w:r>
        <w:t>En l'espèce, l'appelant a fait changer les serrures de l'appartement en l'absence de l'intimée, de sorte que celle-ci n'a plus pu y pénétrer. Elle a dès lors perdu, contre sa volonté, la possession de la chambre de l'appartement qu'elle sous-louait et dont elle jouissait. L'appelant n'invoque aucun motif justificatif tiré de la loi; de sorte qu'il sera considéré que les conditions de l'art. 927 al. 1 CC sont remplies.</w:t>
      </w:r>
    </w:p>
    <w:p>
      <w:r>
        <w:t>L'appelant soutient qu'il serait manifeste qu'il jouirait d'un droit préférable au sens de l'art. 927 al. 2 CC. Il faut comprendre de ses explications qu'il soutient à cet égard être titulaire du bail de l'appartement qu'après sa rupture avec l'intimée celle-ci n'a pas voulu quitter. L'appelant a conclu avec l'intimée un sous-bail qui donne le droit à cette dernière d'occuper l'une des chambres de l'appartement. Les motifs pour lesquels le contrat de sous-location aurait été conclu, à savoir, selon l'appelant, permettre à l'intimée de percevoir des prestations qu'elle n'aurait autrement pas pu percevoir de la part de l'Hospice général, ne sont pas déterminants et ne permettent vraisemblablement pas de considérer que l'intimée serait au bénéfice d'un "faux" contrat de sous-location ne lui octroyant aucun droit sur la chambre concernée. Enfin, le fait que, selon l'appelant, la situation serait "absurde et grotesque" est dépourvu de pertinence juridique.</w:t>
      </w:r>
    </w:p>
    <w:p>
      <w:r>
        <w:t>- 8/9 -</w:t>
      </w:r>
    </w:p>
    <w:p>
      <w:r>
        <w:t>C/14275/2019</w:t>
      </w:r>
    </w:p>
    <w:p>
      <w:r>
        <w:t>En définitive, il est vraisemblable que l'intimée dispose du droit qu'elle invoque et que l'appelant ne jouit pas d'un droit préférable au sens de l'art. 927 al. 2 CC. Pour le surplus, l'appelant ne conteste pas la réalisation des autres conditions d'octroi des mesures provisionnelles requises, en particulier celle de l'urgence et celle du préjudice difficilement réparable.</w:t>
      </w:r>
    </w:p>
    <w:p>
      <w:r>
        <w:t>L'ordonnance attaquée sera dès lors confirmée.</w:t>
      </w:r>
    </w:p>
    <w:p>
      <w:r>
        <w:rPr>
          <w:b/>
        </w:rPr>
        <w:t>E. 3</w:t>
      </w:r>
    </w:p>
    <w:p>
      <w:r>
        <w:t>A teneur de l'art. 22 al. 1 LaCC, il n'est pas prélevé de frais dans les causes soumises à la juridiction des baux et loyers (ATF 139 III 182 consid. 2.6). * * * * *</w:t>
      </w:r>
    </w:p>
    <w:p>
      <w:r>
        <w:t>- 9/9 -</w:t>
      </w:r>
    </w:p>
    <w:p>
      <w:r>
        <w:t>C/14275/2019</w:t>
      </w:r>
    </w:p>
    <w:p>
      <w:r>
        <w:t>PAR CES MOTIFS, La Chambre des baux et loyers : A la forme : Déclare recevable l'appel interjeté le 2 septembre 2019 par A______ contre l'ordonnance JTBL/749/2019 rendue le 9 août 2019 par le Tribunal des baux et loyers dans la cause C/14275/2019. Au fond : Confirme cette ordonnance. Dit que la procédure est gratuite. Déboute les parties de toutes autres conclusions. Siégeant : Madame Nathalie LANDRY-BARTHE, présidente; Madame Sylvie DROIN, Monsieur Laurent RIEBEN, juges; Monsieur Serge PATEK,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