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ACJC/1835/2018 vom 20. Dezember 2018</w:t>
      </w:r>
    </w:p>
    <w:p>
      <w:r>
        <w:t>GE Cour de justice, 2018-12-20, FR</w:t>
      </w:r>
    </w:p>
    <w:p>
      <w:r>
        <w:rPr>
          <w:b/>
        </w:rPr>
        <w:t xml:space="preserve">Quelle: </w:t>
      </w:r>
      <w:r>
        <w:t>https://mcp.opencaselaw.ch/entscheid/ge_gerichte_ACJC_1835_2018</w:t>
      </w:r>
    </w:p>
    <w:p>
      <w:r>
        <w:t>FR: GE_GERICHTE ACJC/1835/2018 du 20 décembre 2018</w:t>
      </w:r>
    </w:p>
    <w:p>
      <w:r>
        <w:t>IT: GE_GERICHTE ACJC/1835/2018 del 20 dicembre 2018</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les formes requis par la loi, le recours est recevable.</w:t>
      </w:r>
    </w:p>
    <w:p>
      <w:r>
        <w:rPr>
          <w:b/>
        </w:rPr>
        <w:t>E. 1.2</w:t>
      </w:r>
    </w:p>
    <w:p>
      <w:r>
        <w:t>La cognition de la Cour est limitée à la violation du droit et à la constatation manifestement inexacte des faits (art. 320 CPC et 278 al. 3 LP).</w:t>
      </w:r>
    </w:p>
    <w:p>
      <w:r>
        <w:rPr>
          <w:b/>
        </w:rPr>
        <w:t>E. 2</w:t>
      </w:r>
    </w:p>
    <w:p>
      <w:r>
        <w:t>mai 2017, de sorte que la créance de l'intimée n'était pas vraisemblable. En tout état de cause, elle disposait envers sa partie adverse d'une créance en réduction du prix de vente, de sorte que les montants séquestrés excédaient largement les prétentions éventuelles de l'intimée. 2.1.1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- 6/10 -</w:t>
      </w:r>
    </w:p>
    <w:p>
      <w:r>
        <w:t>C/14021/2018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w:t>
      </w:r>
    </w:p>
    <w:p>
      <w:r>
        <w:t>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t>L'opposant doit tenter de démontrer que son point de vue est plus vraisemblable que celui du créancier séquestrant (arrêts du Tribunal fédéral 5A_328/2013 du</w:t>
      </w:r>
    </w:p>
    <w:p>
      <w:r>
        <w:rPr>
          <w:b/>
        </w:rPr>
        <w:t>E. 4</w:t>
      </w:r>
    </w:p>
    <w:p>
      <w:r>
        <w:t>novembre 2013 consid. 4.3.2; 5A_925/2012 du 5 avril 2013 consid. 9.3).</w:t>
      </w:r>
    </w:p>
    <w:p>
      <w:r>
        <w:t>2.1.2 Selon l'art. 253 CPC, lorsque la requête ne paraît pas manifestement irrecevable ou infondée, le tribunal donne à la partie adverse l'occasion de se déterminer oralement ou par écrit. Cette disposition met en œuvre le droit d'être entendu (art. 53 CPC, 29 al. 2 Cst.), qui s'applique aussi en procédure sommaire. Un second échange d'écritures n'y est pas prévu, de sorte qu'au vu de la nature de la procédure sommaire, il s'impose de faire preuve de retenue à cet égard (ATF 138 III 252 consid. 2.1).</w:t>
      </w:r>
    </w:p>
    <w:p>
      <w:r>
        <w:t>- 7/10 -</w:t>
      </w:r>
    </w:p>
    <w:p>
      <w:r>
        <w:t>C/14021/2018 2.1.3 Selon l'art. 28 al. 1 CO, la partie induite à contracter par le dol de l'autre n'est pas obligée, même si son erreur n'est pas essentielle. Le dol est une tromperie intentionnelle qui détermine la dupe, dans l'erreur, à accomplir un acte juridique; le dol éventuel suffit. 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Le dol au sens de l'art. 28 CO suppose une tromperie qui a abouti. Il n'est pas nécessaire qu'elle provoque une erreur essentielle au sens de l'art. 24 CO; il suffit que, sans l'erreur, la dupe n'aurait pas conclu le contrat ou ne l'aurait pas conclu avec le même contenu (arrêt du Tribunal fédéral 4A_62/2017 du 22 novembre 2017 consid. 2.1). 2.2.1 En l'espèce, la réplique spontanée déposée par la recourante le jour de l'audience fixée par le Tribunal était irrecevable. En effet, un second échange d'écriture n'avait pas été ordonné par le Tribunal, étant rappelé que cette possibilité constitue une exception dans le cadre de la procédure sommaire. Le droit d'être entendue de la recourante a été respecté puisqu'elle a pu s'exprimer oralement le jour de l'audience. Les pièces produites par la recourante le jour de l'audience sont par contre recevables.</w:t>
      </w:r>
    </w:p>
    <w:p>
      <w:r>
        <w:t>2.2.2 Sur le fond, c'est à juste titre que le Tribunal a retenu que l'intimée avait rendu sa créance vraisemblable.</w:t>
      </w:r>
    </w:p>
    <w:p>
      <w:r>
        <w:t>En effet, il résulte du dossier que la recourante reste devoir à l'intimée le solde du prix de vente des actions de C______ SA en 448'500 EUR.</w:t>
      </w:r>
    </w:p>
    <w:p>
      <w:r>
        <w:t>Aucune pièce produite n'étaye la version de la recourante qui soutient que l'intimée l'aurait volontairement trompée sur la valeur des actions précitées en lui dissimulant les termes du contrat de travail conclu par C______ SA avec G______.</w:t>
      </w:r>
    </w:p>
    <w:p>
      <w:r>
        <w:t>En effet, la recourante était au courant des termes dudit contrat puisque les conditions de l'engagement de G______ ont été négociées par celui-ci dès l'été 2016 tant avec les représentants de la recourante, notamment H______, qu'avec ceux de l'intimée. H______ a notamment expressément approuvé le 15 juin 2016 le montant du salaire alloué à G______ ainsi que son droit de recevoir 15% des actions de C______ SA sur une période de trois ans. Par la suite, l'intimée a transmis à la recourante, le 11 avril 2017, soit plusieurs jours avant la finalisation des négociations relatives au contrat de vente du 2 mai</w:t>
      </w:r>
    </w:p>
    <w:p>
      <w:r>
        <w:t>- 8/10 -</w:t>
      </w:r>
    </w:p>
    <w:p>
      <w:r>
        <w:t>C/14021/2018 2017, la liste des engagements financiers de C______ SA. Le contrat de travail de G______, dont il était précisé qu'il était conclu pour une durée de trois ans, figurait dans cette liste. Ledit contrat de travail n'avait pas à figurer sur l'annexe A du contrat du 2 mai 2017, contrairement à ce que soutient la recourante, puisque cette annexe récapitulait les investissements faits par chaque partie dans la société C______ SA et non les engagements financiers de celle-ci à l'égard des tiers. Le contrat de travail lui-même, qui mentionnait toutes les conditions d'engagement, notamment le fait qu'il prenait fin au 31 juillet 2019, a quant à lui été transmis à la recourante par G______ le 27 avril 2017, soit avant la signature du contrat de vente du 2 mai 2017. Contrairement à ce que fait valoir la recourante, aucun élément du dossier ne permet de retenir que l'intimée lui aurait affirmé que ledit contrat de travail pouvait être résilié avant le 31 juillet 2019. La recourante n'a ainsi pas rendu vraisemblable qu'elle avait été victime d'une tromperie de la part de l'intimée. En outre, rien ne permet de penser que les termes du contrat de travail de G______ auraient joué un rôle causal dans la décision de la recourante d'acquérir les actions de C______ SA. En tout état de cause, les allégations de la recourante selon lesquelles la valeur des actions acquises par ses soins serait diminuée en raison des conditions d'engagement de G______ ne reposent sur aucune pièce du dossier, étant souligné que la recourante a pris seule la décision de le licencier, postérieurement à la vente litigieuse. Il résulte de ce qui précède que la recourante n'était vraisemblablement pas en droit d'invalider le contrat litigieux pour cause de dol. Elle est dès lors vraisemblablement liée par ce contrat au sens de l'art. 272 al. 1 ch. 1 LP. La recourante ne conteste par ailleurs pas la réalisation des autres conditions du séquestre. Le jugement querellé doit par conséquent être confirmé. 3. Les frais seront mis à la charge de la partie succombante, à savoir la recourante (art. 106 al. 1 CPC).</w:t>
      </w:r>
    </w:p>
    <w:p>
      <w:r>
        <w:t>Contrairement à ce que soutient la recourante, il n'y aucune raison de modifier la répartition ou la quotité des frais et dépens fixés par le Tribunal au motif que l'intimée n'a pas produit avec sa requête de séquestre le courrier de la recourante</w:t>
      </w:r>
    </w:p>
    <w:p>
      <w:r>
        <w:t>- 9/10 -</w:t>
      </w:r>
    </w:p>
    <w:p>
      <w:r>
        <w:t>C/14021/2018 du 22 septembre 2017. Cette omission ne constitue notamment pas une violation des règles de la bonne foi prévue par l'art. 52 CPC, chaque partie étant libre de choisir les pièces qu'elle entend produire à l'appui de ses allégations.</w:t>
      </w:r>
    </w:p>
    <w:p>
      <w:r>
        <w:t>Les frais judiciaires du recours seront arrêtés à 1'500 fr. (art 48 et 61 OELP) et compensés avec l'avance fournie par la recourante, acquise à l'Etat de Genève (art. 111 al. 1 CPC).</w:t>
      </w:r>
    </w:p>
    <w:p>
      <w:r>
        <w:t>Les dépens dus à l'intimée seront arrêtés à 3'000 fr., débours et TVA compris (art. 85, 88, 89, 90 RTFMC). * * * * *</w:t>
      </w:r>
    </w:p>
    <w:p>
      <w:r>
        <w:t>- 10/10 -</w:t>
      </w:r>
    </w:p>
    <w:p>
      <w:r>
        <w:t>C/14021/2018 PAR CES MOTIFS, La Chambre civile : A la forme : Déclare recevable le recours interjeté par A______ LTD contre le jugement OSQ/39/2018 rendu le 21 septembre 2018 par le Tribunal de première instance dans la cause C/14021/2018-24 SQP. Au fond : Le rejette. Déboute les parties de toutes autres conclusions. Sur les frais : Met à charge de A______ LTD les frais judiciaires du recours, arrêtés à 1'500 fr. et compensés avec l'avance versée, acquise à l'Etat de Genève. Condamne A______ LTD à verser 3'000 fr. à B______ SA à titre de dépens de recours. Siégeant : Madame Fabienne GEISINGER-MARIETHOZ, présidente; Monsieur Laurent RIEBEN et Madame Eleanor McGREGOR, juges; Madame Mélanie DE RESENDE PEREIRA, greffière. 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