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ACJC/182/2015 vom 5. September 2014</w:t>
      </w:r>
    </w:p>
    <w:p>
      <w:r>
        <w:t>GE Cour de justice, 2014-09-05, FR</w:t>
      </w:r>
    </w:p>
    <w:p>
      <w:r>
        <w:rPr>
          <w:b/>
        </w:rPr>
        <w:t xml:space="preserve">Quelle: </w:t>
      </w:r>
      <w:r>
        <w:t>https://mcp.opencaselaw.ch/entscheid/ge_gerichte_ACJC_182_2015</w:t>
      </w:r>
    </w:p>
    <w:p>
      <w:r>
        <w:t>FR: GE_GERICHTE ACJC/182/2015 du 5 septembre 2014</w:t>
      </w:r>
    </w:p>
    <w:p>
      <w:r>
        <w:t>IT: GE_GERICHTE ACJC/182/2015 del 5 settembre 2014</w:t>
      </w:r>
    </w:p>
    <w:p>
      <w:pPr>
        <w:pStyle w:val="Heading2"/>
      </w:pPr>
      <w:r>
        <w:t>Erwägungen</w:t>
      </w:r>
    </w:p>
    <w:p>
      <w:r>
        <w:rPr>
          <w:b/>
        </w:rPr>
        <w:t>E. 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et selon les formes prévus par la loi le recours est recevable en l'espèce.</w:t>
      </w:r>
    </w:p>
    <w:p>
      <w:r>
        <w:rPr>
          <w:b/>
        </w:rPr>
        <w:t>E. 2.1</w:t>
      </w:r>
    </w:p>
    <w:p>
      <w:r>
        <w:t>Dans le cadre d'un recours, le pouvoir d'examen de la Cour est limité à la violation du droit et à la constatation manifestement inexacte des faits</w:t>
      </w:r>
    </w:p>
    <w:p>
      <w:r>
        <w:t>- 4/7 -</w:t>
      </w:r>
    </w:p>
    <w:p>
      <w:r>
        <w:t>C/26740/2013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2.2</w:t>
      </w:r>
    </w:p>
    <w:p>
      <w:r>
        <w:t>Les conclusions, allégations de fait et preuves nouvelles sont irrecevables (art. 326 al. 1 CPC). Cette exclusion des nova, aussi bien proprement qu'improprement dits, résulte du caractère extraordinaire de la voie de droit prévue par les art. 319 ss CPC :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 3; JEANDIN, in CPC, Code de procédure civile commenté, Bohnet/Haldy/Jeandin/Schweizer/Tappy [éd.], 2011, nos 1 et 2 ad art. 326 CPC; FREIBURGHAUS/AFHELDT, in Kommentar zur Schweizerische Zivilprozessordnung [ZPO], Sutter-Somm/Hasenböhler/ Leuenberger [éd.], 2ème édition, 2013, nos 3 et 4 ad art. 326 CPC; SPÜHLER, in Basler Kommentar, Schweizerische Zivilprozessordnung, Spühler/Tenchio/ Infanger [éd.], 2ème édition, 2013, nos 1 et 2 ad art. 326 CPC; BRUNNER, in Schweizerische Zivilprozessordnung, Oberhammer [éd.], 2ème édition, 2014, nos 1 et 2 ad art. 326 CPC). L'art. 326 al. 2 CPC réserve les dispositions légales spéciales; aucune exception au principe de l'exclusion des nova n'est cependant prévue par la loi pour les procédures de mainlevée. Les faits notoires ne doivent pas être prouvés (art. 151 CPC). Les inscriptions au registre du commerce, accessibles au public par internet, sont notoires (arrêt du Tribunal fédéral 4A_473/2011 du 22 décembre 2011 condid. 2.2).</w:t>
      </w:r>
    </w:p>
    <w:p>
      <w:r>
        <w:rPr>
          <w:b/>
        </w:rPr>
        <w:t>E. 2.3</w:t>
      </w:r>
    </w:p>
    <w:p>
      <w:r>
        <w:t>Conformément aux principes susmentionnés, les pièces produites par le recourant pour la première fois dans le cadre de son recours sont irrecevables, à l'exception de l'extrait du Registre du commerce du canton d'Argovie qui constitue un fait notoire. Les pièces nouvelles produites par l'intimée sont également irrecevables. Il en va de même de la conclusion de l'intimée visant à la jonction de la présente cause avec la cause C/______/2014.</w:t>
      </w:r>
    </w:p>
    <w:p>
      <w:r>
        <w:rPr>
          <w:b/>
        </w:rPr>
        <w:t>E. 3.1</w:t>
      </w:r>
    </w:p>
    <w:p>
      <w:r>
        <w:t>La question de savoir quelle(s) personne(s) est (sont) habilitée(s) à représenter la société anonyme en procédure ressortit à la capacité d'ester en justice de celle-</w:t>
      </w:r>
    </w:p>
    <w:p>
      <w:r>
        <w:t>- 5/7 -</w:t>
      </w:r>
    </w:p>
    <w:p>
      <w:r>
        <w:t>C/26740/2013 ci. Il s'agit d'une condition de recevabilité de la demande au sens de l'art. 59 al. 2 let. c CPC (arrêt du Tribunal fédéral 4A_415/2014, du 12 janvier 2015, consid. 1.3), laquelle doit être examinée d'office (art. 60 CPC). Selon l'art. 132 al. 1 CPC, le juge doit fixer un délai pour la rectification des vices de forme telle l'absence de signature ou de procuration. A défaut, l'acte n'est pas pris en considération (art. 132 al. 2 CPC). Le juge doit fixer à l’auteur de l’acte un délai pour opérer la rectification même si le délai pour procéder à l’acte vicié lui-même est écoulé, pourvu que cet acte ait été déposé dans ce premier délai (ATF 120 V 413 consid. 6a; arrêts du Tribunal fédéral 4C.236/2003 du 30 janvier 2004 consid. 3.3; 1P.254/2005 du 30 août 2005, consid. 2.5).</w:t>
      </w:r>
    </w:p>
    <w:p>
      <w:r>
        <w:rPr>
          <w:b/>
        </w:rPr>
        <w:t>E. 3.2</w:t>
      </w:r>
    </w:p>
    <w:p>
      <w:r>
        <w:t>Dans le cas d'espèce, le recourant fait valoir, pour la première fois devant la Cour, que Philippe COLLET, membre de la direction de l'intimée, n'a pas le pouvoir de représenter seul celle-ci. Philippe COLLET a spontanément déposé le 24 décembre 2014 la procuration datée du 27 mars 2008, valablement établie par deux administrateurs de l'intimée, et l'autorisant à la représenter, avec signature individuelle, dans toutes les procédures l'opposant au recourant. L'omission du dépôt de la procuration par le représentant de l'intimée a par conséquent été réparée en temps utile, sans qu'il soit nécessaire que la Cour lui impartisse un délai pour ce faire. Ce grief est ainsi infondé.</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t>- 6/7 -</w:t>
      </w:r>
    </w:p>
    <w:p>
      <w:r>
        <w:t>C/26740/2013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Loi fédérale sur la poursuite pour dette et la faillite, Lausanne 1999, n. 44 ad art. 82 LP).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23ss, p. 36).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w:t>
      </w:r>
    </w:p>
    <w:p>
      <w:r>
        <w:rPr>
          <w:b/>
        </w:rPr>
        <w:t>E. 4.2</w:t>
      </w:r>
    </w:p>
    <w:p>
      <w:r>
        <w:t>Le recourant soutient que l'intimée ne paye pas le loyer au bailleur principal depuis fin février 2012 et qu'elle tente, par le biais de la présente procédure, de s'enrichir illicitement. L'allégation nouvelle d'absence de paiement du loyer du bail principal est également irrecevable et, au demeurant, dénuée de pertinence pour l'issue du litige. En tout état de cause, la Cour constate que le contrat de bail du 7 juin 2004 et le procès-verbal de conciliation du 2 septembre 2013 valent, comme l'a retenu à bon droit le Tribunal, titre de mainlevée provisoire justifiant le prononcé de la mainlevée de l'opposition à concurrence de 5'355 fr. Le recours devra par conséquent être rejeté.</w:t>
      </w:r>
    </w:p>
    <w:p>
      <w:r>
        <w:rPr>
          <w:b/>
        </w:rPr>
        <w:t>E. 5</w:t>
      </w:r>
    </w:p>
    <w:p>
      <w:r>
        <w:t>Le recourant, qui succombe, sera condamné aux frais du recours (art. 106 al. 1 CPC). Les frais judiciaires seront arrêtés à 450 fr. (art. 48 et 61 OELP) et compensés avec l'avance versée par le recourant, laquelle restera acquise à l'Etat de Genève. Il n'y a pas lieu d'allouer de dépens à l'intimée qui n'en a pas sollicité et qui plaide en personne (art. 95 al. 3 let. c CPC). * * * * *</w:t>
      </w:r>
    </w:p>
    <w:p>
      <w:r>
        <w:t>- 7/7 -</w:t>
      </w:r>
    </w:p>
    <w:p>
      <w:r>
        <w:t>C/26740/2013 PAR CES MOTIFS, La Chambre civile : A la forme : Déclare recevable le recours interjeté par A______ contre le jugement JTPI/11051/2014 rendu le 5 septembre 2014 par le Tribunal de première instance dans la cause C/26740/2013-2 SML. Au fond : Le rejette. Déboute les parties de toutes autres conclusions. Sur les frais : Arrête les frais judiciaires du recours à 450 fr. Les met à la charge de A______ et dit qu'ils sont compensés avec l'avance de frais fournie par ce dernier, qui reste acquise à l'Etat.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