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ACJC/181/2018 vom 23. Februar 2018</w:t>
      </w:r>
    </w:p>
    <w:p>
      <w:r>
        <w:t>GE Cour de justice, 2018-02-23, FR</w:t>
      </w:r>
    </w:p>
    <w:p>
      <w:r>
        <w:rPr>
          <w:b/>
        </w:rPr>
        <w:t xml:space="preserve">Quelle: </w:t>
      </w:r>
      <w:r>
        <w:t>https://mcp.opencaselaw.ch/entscheid/ge_gerichte_ACJC_181_2018</w:t>
      </w:r>
    </w:p>
    <w:p>
      <w:r>
        <w:t>FR: GE_GERICHTE ACJC/181/2018 du 23 février 2018</w:t>
      </w:r>
    </w:p>
    <w:p>
      <w:r>
        <w:t>IT: GE_GERICHTE ACJC/181/2018 del 23 febbraio 2018</w:t>
      </w:r>
    </w:p>
    <w:p>
      <w:pPr>
        <w:pStyle w:val="Heading2"/>
      </w:pPr>
      <w:r>
        <w:t>Erwägungen</w:t>
      </w:r>
    </w:p>
    <w:p>
      <w:r>
        <w:rPr>
          <w:b/>
        </w:rPr>
        <w:t>E. 1.1</w:t>
      </w:r>
    </w:p>
    <w:p>
      <w:r>
        <w:t>L'appel est recevable contre les décisions finales de première instance et les décisions incidentes de première instance si la valeur litigieuse au dernier état des conclusions est de 10'000 fr. au moins (art. 308 CPC).</w:t>
      </w:r>
    </w:p>
    <w:p>
      <w:r>
        <w:t>L'appel, écrit et motivé, est introduit auprès de l'instance d'appel dans les 30 jours à compter de la notification de la décision motivée ou de la notification postérieure de la motivation (art. 311 al. 1 CPC).</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w:t>
      </w:r>
    </w:p>
    <w:p>
      <w:r>
        <w:t>Selon la jurisprudence, il convient de ne pas se montrer trop exigeant dans l'appréciation d'un acte rédigé par un non-juriste (ATF 117 I A 133 consid. 5 d).</w:t>
      </w:r>
    </w:p>
    <w:p>
      <w:r>
        <w:t>Etant une voie de réforme dans la mesure où la Cour peut confirmer la décision ou statuer à nouveau (art. 318 let. a et b CPC), l'appelant ne doit pas se borner à demander l'annulation de la décision attaquée et le renvoi de la cause à l'instance inférieure;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w:t>
      </w:r>
    </w:p>
    <w:p>
      <w:r>
        <w:t>- 8/12 -</w:t>
      </w:r>
    </w:p>
    <w:p>
      <w:r>
        <w:t>C/2197/2015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w:t>
      </w:r>
    </w:p>
    <w:p>
      <w:r>
        <w:rPr>
          <w:b/>
        </w:rPr>
        <w:t>E. 1.2</w:t>
      </w:r>
    </w:p>
    <w:p>
      <w:r>
        <w:t>En l'espèce, l'acte du 3 août 2017, seul pertinent à cet égard, ne contient pas de conclusions et une motivation confuse, l'appelant se limitant principalement à opposer sa version des faits à celle retenue par le Tribunal. Interprété de manière large à l'égard d'un plaideur en personne, il remplit cependant les exigences minimales de motivation, et l'on comprend ce que l'appelant entend obtenir. Il a pour le surplus été déposé dans le délai prescrit par la loi, de sorte qu'il sera déclaré recevable.</w:t>
      </w:r>
    </w:p>
    <w:p>
      <w:r>
        <w:rPr>
          <w:b/>
        </w:rPr>
        <w:t>E. 2</w:t>
      </w:r>
    </w:p>
    <w:p>
      <w:r>
        <w:t>L'appelant produit une pièce nouvelle.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2.1.1</w:t>
      </w:r>
    </w:p>
    <w:p>
      <w:r>
        <w:t>La relation entre l’avocat et son client relève en règle générale du mandat au sens des art. 394ss CO. 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(DIAGNE, La procédure de modération des honoraires de l'avocat, 2012, p. 36).</w:t>
      </w:r>
    </w:p>
    <w:p>
      <w:r>
        <w:t>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p. 55; ATF 117 II 282 consid. 4a p. 283), ce qui n'est pas le cas à Genève, l'art. 34 de la loi sur la profession d’avocat du 26 avril 2002</w:t>
      </w:r>
    </w:p>
    <w:p>
      <w:r>
        <w:t>- 9/12 -</w:t>
      </w:r>
    </w:p>
    <w:p>
      <w:r>
        <w:t>C/2197/2015 (LPAv - E 6 10) se limitant à prévoir que les honoraires sont fixés par l'avocat lui- même compte tenu du travail qu'il a effectué, de la complexité et de l'importance de l'affaire, de la responsabilité qu'il a assumée, du résultat obtenu et de la situation de son client. A défaut de convention des parties et de règle cantonale, le montant des honoraires doit être fixé selon l'usage (ATF 101 II 109 consid. 2; ATF 135 III 259 S. 262); à défaut d'usage, selon les critères développés par la jurisprudence (DIAGNE, La procédure de modification des honoraires de l'avocat, 2012, p. 41 et 42).</w:t>
      </w:r>
    </w:p>
    <w:p>
      <w:r>
        <w:t>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w:t>
      </w:r>
    </w:p>
    <w:p>
      <w:r>
        <w:rPr>
          <w:b/>
        </w:rPr>
        <w:t>E. 2.1.2</w:t>
      </w:r>
    </w:p>
    <w:p>
      <w:r>
        <w:t>Le contrat est parfait lorsque les parties ont, réciproquement et d'une manière concordante, manifesté leur volonté. Cette volonté peut être expresse ou tacite (art. 1 CO).</w:t>
      </w:r>
    </w:p>
    <w:p>
      <w:r>
        <w:rPr>
          <w:b/>
        </w:rPr>
        <w:t>E. 2.1.3</w:t>
      </w:r>
    </w:p>
    <w:p>
      <w:r>
        <w:t>Contrairement au contrat d'entreprise, le contrat de mandat ne contient pas de dispositions légales expresses permettant une réduction de la rémunération du mandataire. Dans le mandat, la réduction devrait théoriquement intervenir en proportion du manquement à la diligence requise. Selon le Tribunal fédéral, aucune rémunération n'est due lorsque l'exécution du mandat s'est avérée inutile, inutilisable ou gravement dommageable, à tel point que l'exécution défectueuse du mandat est assimilable à une totale inexécution. En revanche, malgré l'exécution défectueuse, la rémunération du mandataire reste due pour les prestations utiles, à condition qu'elle puisse être détachable (HARARI/CORMINBOEUF, Les honoraires de l'avocat, Défis de l'avocat au XXIe siècle, 2009, p. 264).</w:t>
      </w:r>
    </w:p>
    <w:p>
      <w:r>
        <w:rPr>
          <w:b/>
        </w:rPr>
        <w:t>E. 2.1.4</w:t>
      </w:r>
    </w:p>
    <w:p>
      <w:r>
        <w:t>En vertu de l'art. 8 CC, chaque partie doit, si la loi ne prescrit le contraire, prouver les faits qu'elle allègue pour en déduire son droit.</w:t>
      </w:r>
    </w:p>
    <w:p>
      <w:r>
        <w:t>Le tribunal établit sa conviction par une libre appréciation des preuves administrées (art. 157 CPC).</w:t>
      </w:r>
    </w:p>
    <w:p>
      <w:r>
        <w:rPr>
          <w:b/>
        </w:rPr>
        <w:t>E. 2.2</w:t>
      </w:r>
    </w:p>
    <w:p>
      <w:r>
        <w:t>En l'espèce, comme l'a justement retenu le Tribunal, il est établi - et d'ailleurs non formellement contesté - que l'appelant a mandaté l'intimé le 12 novembre 2012. Cela ressort en effet, d'une part, de la procuration signée par l'appelant, donnant mandat à l'intimé de l'assister dans le cadre de la procédure tutélaire au sujet de sa mère, et, d'autre part, du courriel du 23 novembre 2012, comprenant des instructions du premier au second.</w:t>
      </w:r>
    </w:p>
    <w:p>
      <w:r>
        <w:t>- 10/12 -</w:t>
      </w:r>
    </w:p>
    <w:p>
      <w:r>
        <w:t>C/2197/2015</w:t>
      </w:r>
    </w:p>
    <w:p>
      <w:r>
        <w:t>Il est également établi que les parties avaient convenu, au moins par actes concluants, d'un tarif horaire de 450 fr./heure. Ce montant ressort en effet en particulier de la demande de provision du 15 novembre 2012 et des échanges ultérieurs entre les parties, lors desquels ce montant n'a jamais été remis en cause par l'appelant. Il correspond de surcroît au tarif usuel d'un chef d'étude. Comme l'a justement retenu le Tribunal, les échanges entre les parties du mois d'avril 2012, ainsi que le courriel de l'appelant du 22 juillet 2012, ne permettent pas de considérer que les parties étaient convenues d'un paiement par échanges de prestations (conseils juridiques en échanges d'assistance informatique).</w:t>
      </w:r>
    </w:p>
    <w:p>
      <w:r>
        <w:t>Il n'y a pas non plus lieu de douter que l'intimé a effectivement fourni les prestations facturées. L'appelant admet avoir consulté l'intimé le 12 novembre 2012, ce qui correspond aux 45 minutes facturées à cette occasion. La demande de prolongation adressée au Tribunal de protection le 15 novembre 2012 correspond à deux fois 10 minutes de travail facturées, ce qui n'est pas critiquable. Les autres prestations facturées du 23 novembre 2012 au 21 décembre 2012 ne souffrent pas non plus la critique, au regard, d'une part, du dossier volumineux déposé par l'appelant le 23 novembre 2012 et de la cassette remise le 25 novembre 2012, dont il convenait de prendre connaissance rapidement, vu l'impatience manifestée par le client, le délai imparti pour formuler des observations et la proximité des fêtes de fin d'année, et, d'autre part, de la difficulté de la question juridique soulevée qui nécessitait sans aucun doute quelques recherches.</w:t>
      </w:r>
    </w:p>
    <w:p>
      <w:r>
        <w:t>Enfin, le Tribunal a également justement considéré qu'aucune faute ne pouvait être imputée à l'intimé dans l'exercice de son mandat. Lorsque l'appelant est venu le consulter en novembre 2012, le Tribunal de protection avait déjà été saisi, et il s'agissait de formuler des observations dans un délai très bref, dont l'intimé a justement demandé la prolongation. L'appelant ne peut tirer argument du fait qu'il aurait saisi ce tribunal sur les conseils de l'intimé plusieurs mois auparavant, dans le cadre limité de la permanence de l'Ordre des avocats. En effet, il a agi seul, après une brève consultation, sans que l'occasion ne soit donnée à son interlocuteur de prendre une connaissance un tant soit peu approfondie de pièces ni d'effectuer une recherche juridique même sommaire. L'appelant a manifestement agi avec précipitation et essaie d'en faire porter la responsabilité à l'intimé.</w:t>
      </w:r>
    </w:p>
    <w:p>
      <w:r>
        <w:t>Il ressort des considérations qui précèdent que les honoraires réclamés sont dus. Le chiffre 2 du dispositif du jugement sera confirmé.</w:t>
      </w:r>
    </w:p>
    <w:p>
      <w:r>
        <w:t>Les autres points du jugement ne sont pas critiqués, de sorte qu'ils seront également confirmés.</w:t>
      </w:r>
    </w:p>
    <w:p>
      <w:r>
        <w:rPr>
          <w:b/>
        </w:rPr>
        <w:t>E. 3</w:t>
      </w:r>
    </w:p>
    <w:p>
      <w:r>
        <w:t>L'appelant, qui succombe, sera condamné aux frais de l'appel, arrêtés à 500 fr., compensés avec l'avance fournie, acquise à l'Etat.</w:t>
      </w:r>
    </w:p>
    <w:p>
      <w:r>
        <w:t>- 11/12 -</w:t>
      </w:r>
    </w:p>
    <w:p>
      <w:r>
        <w:t>C/2197/2015</w:t>
      </w:r>
    </w:p>
    <w:p>
      <w:r>
        <w:t>Il sera en outre condamné à verser à l'intimée la somme de 350 fr. à titre de dépens d'appel (art. 27 de la loi d'application du code civil suisse et autres lois fédérales en matière civile du 28 novembre 2010 (LaCC - E 1 05); 85 et 90 du règlement fixant le tarif des frais en matière civile - RFTMC, E 1 05.10). * * * * *</w:t>
      </w:r>
    </w:p>
    <w:p>
      <w:r>
        <w:t>- 12/12 -</w:t>
      </w:r>
    </w:p>
    <w:p>
      <w:r>
        <w:t>C/2197/2015 PAR CES MOTIFS, La Chambre civile : A la forme : Déclare recevable l'appel interjeté par A______ contre le jugement JTPI/8739/2017 rendu le 30 juin 2017 par le Tribunal de première instance dans la cause C/2197/2015- 16. Au fond : Confirme ce jugement. Déboute les parties de toutes autres conclusions. Sur les frais : Arrête les frais d'appel à 500 fr., les met à la charge d'A_______, dit qu'ils sont compensés avec l'avance fournie, acquise à l'Etat. Condamne A_______ à verser à B_______ la somme de 350 fr. à titre de dépens d'appel.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