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ACJC/180/2021 vom 24. Februar 2021</w:t>
      </w:r>
    </w:p>
    <w:p>
      <w:r>
        <w:t>GE Cour de justice, 2021-02-24, FR</w:t>
      </w:r>
    </w:p>
    <w:p>
      <w:r>
        <w:rPr>
          <w:b/>
        </w:rPr>
        <w:t xml:space="preserve">Quelle: </w:t>
      </w:r>
      <w:r>
        <w:t>https://mcp.opencaselaw.ch/entscheid/ge_gerichte_ACJC_180_2021</w:t>
      </w:r>
    </w:p>
    <w:p>
      <w:r>
        <w:t>FR: GE_GERICHTE ACJC/180/2021 du 24 février 2021</w:t>
      </w:r>
    </w:p>
    <w:p>
      <w:r>
        <w:t>IT: GE_GERICHTE ACJC/180/2021 del 24 febbraio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En l'espèce, l'appel, motivé et formé par écrit dans un délai de trente jours à compter de la notification de la décision, est recevable (art. 130, 131 et 311 al. 1 CPC).</w:t>
      </w:r>
    </w:p>
    <w:p>
      <w:r>
        <w:t>- 11/24 -</w:t>
      </w:r>
    </w:p>
    <w:p>
      <w:r>
        <w:t>C/27137/2018</w:t>
      </w:r>
    </w:p>
    <w:p>
      <w:r>
        <w:rPr>
          <w:b/>
        </w:rPr>
        <w:t>E. 1.2</w:t>
      </w:r>
    </w:p>
    <w:p>
      <w:r>
        <w:t>La Cour revoit la cause en fait et en droit avec un plein pouvoir d'examen (art. 310 CPC).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 cit.).</w:t>
      </w:r>
    </w:p>
    <w:p>
      <w:r>
        <w:rPr>
          <w:b/>
        </w:rPr>
        <w:t>E. 1.3</w:t>
      </w:r>
    </w:p>
    <w:p>
      <w:r>
        <w:t>Les parties ont déposé de nouvelles pièces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1.3.2</w:t>
      </w:r>
    </w:p>
    <w:p>
      <w:r>
        <w:t>Les pièces nouvelles produites, en lien avec le sort de l'enfant mineur, sont ainsi recevables, ainsi que les allégués de fait s'y rapportant.</w:t>
      </w:r>
    </w:p>
    <w:p>
      <w:r>
        <w:rPr>
          <w:b/>
        </w:rPr>
        <w:t>E. 2</w:t>
      </w:r>
    </w:p>
    <w:p>
      <w:r>
        <w:t>La présente cause présente un élément d'extranéité en raison de la nationalité étrangère des parties. Celles-ci ne contestent, à juste titre, pas la compétence des autorités judiciaires genevoises (art. 59, 63 al. 1, 79 al. 1 et 85 al. 1 LDIP; art. 2 et 5 ch. 2 de la CL; art. 5 al. 1 de la Convention de La Haye concernant la compétence, la loi applicable, la reconnaissance, l'exécution et la coopération en matière de responsabilité parentale et de mesures protection des enfants) et l'application du</w:t>
      </w:r>
    </w:p>
    <w:p>
      <w:r>
        <w:t>- 12/24 -</w:t>
      </w:r>
    </w:p>
    <w:p>
      <w:r>
        <w:t>C/27137/2018 droit suisse (art. 61 al. 1, 63 al. 2 et 83 al. 1 LDIP; art. 15 al. 1 de ladite Convention; art. 4 al. 1 de la Convention de La Haye sur la loi applicable aux obligations alimentaires) au présent litige.</w:t>
      </w:r>
    </w:p>
    <w:p>
      <w:r>
        <w:rPr>
          <w:b/>
        </w:rPr>
        <w:t>E. 3</w:t>
      </w:r>
    </w:p>
    <w:p>
      <w:r>
        <w:t>L'appelante reproche au Tribunal d'avoir maintenu l'autorité conjointe sur C______. Elle considère que les conditions pour cela ne seraient pas réalisées et que le bien de l'enfant commanderait que l'autorité parentale lui soit confiée de manière exclusive.</w:t>
      </w:r>
    </w:p>
    <w:p>
      <w:r>
        <w:t>Elle fait valoir qu'il existe un conflit important et durable entre les parents, que les certificats médicaux produits attesteraient que les rencontres entre les parents se passeraient très mal, qu'il n'existe aucune communication parentale, ce qui rend l'exercice de l'autorité parentale impossible, et qu'il a fallu près d'une année pour qu'elle obtienne de l'intimé le document permettant l'établissement d'un passeport serbe pour leur fille.</w:t>
      </w:r>
    </w:p>
    <w:p>
      <w:r>
        <w:t>L'intimé reconnaît avoir été peu collaboratif à l'établissement du passeport serbe de sa fille, en raison de ses inquiétudes liées au projet de la mère de quitter la Suisse avec l'enfant.</w:t>
      </w:r>
    </w:p>
    <w:p>
      <w:r>
        <w:rPr>
          <w:b/>
        </w:rPr>
        <w:t>E. 3.1</w:t>
      </w:r>
    </w:p>
    <w:p>
      <w:r>
        <w:t>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w:t>
      </w:r>
    </w:p>
    <w:p>
      <w:r>
        <w:t>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Droit de la filiation, 2014, n. 499). Entrent en ligne de compte les relations entre les parents et l'enfant, les capacités éducatives respectives des parents, l'aptitude des parents à prendre</w:t>
      </w:r>
    </w:p>
    <w:p>
      <w:r>
        <w:t>- 13/24 -</w:t>
      </w:r>
    </w:p>
    <w:p>
      <w:r>
        <w:t>C/27137/2018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Selon l'art. 301 al. 1 bis CC, le parent qui a la charge de l'enfant peut prendre seul les décisions courantes ou urgentes (ch. 1) ou d'autres décisions, si l'autre parent ne peut être atteint moyennant un effort raisonnable (ch. 2).</w:t>
      </w:r>
    </w:p>
    <w:p>
      <w:r>
        <w:rPr>
          <w:b/>
        </w:rPr>
        <w:t>E. 3.2</w:t>
      </w:r>
    </w:p>
    <w:p>
      <w:r>
        <w:t>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3.3</w:t>
      </w:r>
    </w:p>
    <w:p>
      <w:r>
        <w:t>En l'espèce, le SEASP a préconisé le maintien de l'autorité parentale conjointe. Comme retenu à raison par le premier juge, si la communication parentale est certes inexistante, cette absence de communication - alimentée par le conflit parental - n'est toutefois pas de la responsabilité exclusive de l'une des parties. Par ailleurs, les réticences du père au sujet de l'établissement du passeport serbe de C______ étaient compréhensibles vu le projet de départ à l'étranger de la mère. Hormis cet évènement, il ne ressort pas de la procédure que le père aurait entravé la prise de décisions au sujet de l'enfant, de sorte qu'on ne saurait retenir que le comportement du père justifierait une limitation de son autorité parentale.</w:t>
      </w:r>
    </w:p>
    <w:p>
      <w:r>
        <w:t>- 14/24 -</w:t>
      </w:r>
    </w:p>
    <w:p>
      <w:r>
        <w:t>C/27137/2018 Il apparaît, au contraire, important que l'intimé puisse être impliqué dans les décisions importantes relatives à sa fille, s'investir dans son éducation et occuper son rôle parental. Partant, c'est à raison que le Tribunal a maintenu l'autorité parentale conjointe. Le chiffre 2 du dispositif du jugement entrepris sera ainsi confirmé.</w:t>
      </w:r>
    </w:p>
    <w:p>
      <w:r>
        <w:rPr>
          <w:b/>
        </w:rPr>
        <w:t>E. 4</w:t>
      </w:r>
    </w:p>
    <w:p>
      <w:r>
        <w:t>L'appelante remet en cause l'interdiction faite aux parents par le Tribunal de quitter le territoire suisse avec la mineure, ainsi que le dépôt des pièces d'identité de cette dernière en mains du curateur.</w:t>
      </w:r>
    </w:p>
    <w:p>
      <w:r>
        <w:rPr>
          <w:b/>
        </w:rPr>
        <w:t>E. 4.1</w:t>
      </w:r>
    </w:p>
    <w:p>
      <w:r>
        <w:t>Elle reproche au premier juge de ne pas avoir motivé sa décision sur ces points et d'avoir violé son droit d'être entendue.</w:t>
      </w:r>
    </w:p>
    <w:p>
      <w:r>
        <w:rPr>
          <w:b/>
        </w:rPr>
        <w:t>E. 4.1.1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Le droit d'être entendu est une garantie constitutionnelle de caractère formel, dont la violation doit en principe entraîner l'annulation de la décision attaquée indépendamment des chances de succès du recourant sur le fond (ATF 127 V 431</w:t>
      </w:r>
    </w:p>
    <w:p>
      <w:r>
        <w:t>- 15/24 -</w:t>
      </w:r>
    </w:p>
    <w:p>
      <w:r>
        <w:t>C/27137/2018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4.1.2</w:t>
      </w:r>
    </w:p>
    <w:p>
      <w:r>
        <w:t>En l'espèce, même à admettre une violation du droit d'être entendue de l'appelante, celle-ci peut être réparée devant la Cour de céans, qui dispose d'un plein pouvoir d'examen en fait et en droit et devant laquelle l'appelante a pu s'exprimer, de sorte qu'elle est en tout état sans conséquence. Le grief de l'appelante sera, dès lors, écarté.</w:t>
      </w:r>
    </w:p>
    <w:p>
      <w:r>
        <w:rPr>
          <w:b/>
        </w:rPr>
        <w:t>E. 4.2</w:t>
      </w:r>
    </w:p>
    <w:p>
      <w:r>
        <w:t>L'appelante soutient que l'interdiction de quitter le territoire suisse avec sa fille, dont elle aurait la garde exclusive, entraverait sa liberté personnelle et ne serait justifiée par aucun intérêt public ou privé prépondérant. Elle relève que sa situation administrative en Suisse est précaire, puisqu'elle ne bénéficie que d'un permis B, dont le renouvellement n'est pas garanti, qu'elle est au bénéfice de prestations de l'Hospice général depuis plus de 10 ans, qu'aucun membre de sa famille ne vit en Suisse, qu'il ne serait pas dans l'intérêt de sa fille d'entretenir des relations personnelles avec son père, qu'elle n'aurait personne à qui confier la mineure si elle devait aller se faire soigner à l'étranger et qu'il ne serait pas non plus dans l'intérêt de l'enfant de ne pas pouvoir voyager à l'étranger pour des vacances ou pour voir sa famille maternelle en Serbie ou en Asie.</w:t>
      </w:r>
    </w:p>
    <w:p>
      <w:r>
        <w:rPr>
          <w:b/>
        </w:rPr>
        <w:t>E. 4.2.1</w:t>
      </w:r>
    </w:p>
    <w:p>
      <w:r>
        <w:t>L'autorité parentale inclut le droit de déterminer le lieu de résidence de l'enfant (art. 301a al. 1 CC).</w:t>
      </w:r>
    </w:p>
    <w:p>
      <w:r>
        <w:t>Un parent exerçant conjointement l'autorité parentale ne peut modifier le lieu de résidence de l'enfant qu'avec l'accord de l'autre parent ou sur décision du juge ou de l'autorité de protection de l'enfant lorsque le nouveau de lieu résidence se trouve à l'étranger (art. 301a al. 2 let. a CC). S'agissant de l'autorisation de déplacer le lieu de résidence de l'enfant au sens de l'art. 301 a al. 2 let. a CC,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w:t>
      </w:r>
    </w:p>
    <w:p>
      <w:r>
        <w:t>- 16/24 -</w:t>
      </w:r>
    </w:p>
    <w:p>
      <w:r>
        <w:t>C/27137/2018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 cit.;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 du Tribunal fédéral 5A_530/2020 du 17 août 2020 consid. 4.1.3). Les modalités de la prise en charge de l'enfant existant au moment de la requête sont déterminantes (WYSSEN/BURGAT, L'autorité parentale conjointe et le droit de déterminer le lieu de résidence de l'enfant; analyse de l'arrêt du Tribunal fédéral 5A_945/2015 (=ATF 452 III 502 précité), in : Newsletter DroitMatrimonial.ch septembre 2016, p. 5). Suivant les cas, il n'est plus possible de tenir compte de la situation prévalant au moment du départ, ou du moins pas de manière décisive, en raison de circonstances nouvelles, de sorte que l'intérêt de l'enfant commande que l'évaluation se réfère à la situation actuelle (arrêt du Tribunal fédéral 5A_397/2018 du 16 août 2018 consid. 4.1).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w:t>
      </w:r>
    </w:p>
    <w:p>
      <w:r>
        <w:t>- 17/24 -</w:t>
      </w:r>
    </w:p>
    <w:p>
      <w:r>
        <w:t>C/27137/2018 en conséquence en application de l'art. 301a al. 5 CC (ATF 142 III 502 consid. 2.5; 142 III 481 consid. 2.6; arrêts du Tribunal fédéral 5A_444/2017 du 30 août 2017 consid. 5.3.1; 5A_274/2016 du 26 août 2016 consid. 6).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par un aménagement adapté des droits de visite et de vacances (ATF 144 III 10 consid. 6.4).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10ème symposium en droit de la famille, 2019, n. 65 et le renvoi à l'ATF 142 III 481 consid. 2.8).</w:t>
      </w:r>
    </w:p>
    <w:p>
      <w:r>
        <w:rPr>
          <w:b/>
        </w:rPr>
        <w:t>E. 4.2.2</w:t>
      </w:r>
    </w:p>
    <w:p>
      <w:r>
        <w:t>En l'occurrence, la situation de l'appelante apparaît certes précaire en Suisse. Toutefois, cette dernière n'a pas démontré disposer d'un projet concret d'installation en Corée du Sud, pays dont elle n'est pas originaire. En effet, mis à part un justificatif attestant d'un rendez-vous avec le service d'immigration sud- coréen, elle n'a fourni aucun renseignement sur les démarches qu'elle aurait effectuées ou devrait effectuer pour obtenir une autorisation de séjour dans ce pays. Elle n'a pas non plus renseigné sur ses possibilités de logement, sur les raisons pour lesquelles ses perspectives professionnelles seraient meilleures en</w:t>
      </w:r>
    </w:p>
    <w:p>
      <w:r>
        <w:t>- 18/24 -</w:t>
      </w:r>
    </w:p>
    <w:p>
      <w:r>
        <w:t>C/27137/2018 Corée du Sud ou encore sur la manière dont elle entend financer son voyage, son installation dans ce pays, les frais scolaires de l'établissement privé dans laquelle elle souhaiterait inscrire sa fille ou encore son traitement médical en clinique. Au vu de ce qui précède, il convient de retenir que l'appelante ne dispose pas d'un projet de déménagement concret, si bien que le déplacement du domicile de l'enfant ne peut être autorisé. Un tel déplacement n'est ainsi pas dans l'intérêt de l'enfant. De plus, compte tenu de la volonté avérée de l'appelante de déménager dans le but d'éloigner l'enfant de son père et d'empêcher l'exercice des relations personnelles, il se justifie de lui interdire de quitter le territoire suisse avec la mineure et de limiter son autorité parentale en conséquence, étant relevé que le père n'a, pour sa part, pas contesté cette mesure à son encontre.</w:t>
      </w:r>
    </w:p>
    <w:p>
      <w:r>
        <w:rPr>
          <w:b/>
        </w:rPr>
        <w:t>E. 4.3</w:t>
      </w:r>
    </w:p>
    <w:p>
      <w:r>
        <w:t>Enfin, l'appelante ne remet pas en cause le dépôt des pièces d'identité de l'enfant en mains du curateur dans l'hypothèse où l'interdiction de quitter le territoire serait confirmée.</w:t>
      </w:r>
    </w:p>
    <w:p>
      <w:r>
        <w:rPr>
          <w:b/>
        </w:rPr>
        <w:t>E. 4.4</w:t>
      </w:r>
    </w:p>
    <w:p>
      <w:r>
        <w:t>Par conséquent, les chiffres 3 et 8 seront confirmés.</w:t>
      </w:r>
    </w:p>
    <w:p>
      <w:r>
        <w:rPr>
          <w:b/>
        </w:rPr>
        <w:t>E. 5</w:t>
      </w:r>
    </w:p>
    <w:p>
      <w:r>
        <w:t>L'appelante sollicite que le droit de visite de l'intimé sur leur fille ne puisse être exercé que sur demande de l'enfant.</w:t>
      </w:r>
    </w:p>
    <w:p>
      <w:r>
        <w:t>Elle soutient que le père se serait montré violent à l'égard de cette dernière, qu'il a exercé son droit de visite de manière irrégulière et qu'il n'a plus vu l'enfant depuis près de deux ans. Elle reproche au Tribunal d'avoir retenu que le droit de visite serait bénéfique à la mineure et de s'être écarté du souhait que l'enfant, âgée de 12 ans, lui aurait exprimé.</w:t>
      </w:r>
    </w:p>
    <w:p>
      <w:r>
        <w:t>L'appelante soutient également que les modalités fixées seraient inadéquates, dans la mesure où la progression serait trop rapide, que l'on ne connaitrait pas les conditions de vie du père et qu'aucune latitude ne serait laissée au curateur pour bloquer la progression prévue si le droit de visite ne devait pas bien se dérouler.</w:t>
      </w:r>
    </w:p>
    <w:p>
      <w:r>
        <w:rPr>
          <w:b/>
        </w:rPr>
        <w:t>E. 5.1</w:t>
      </w:r>
    </w:p>
    <w:p>
      <w:r>
        <w:t>L'art. 273 al. 1 CC prévoit que le père ou la mère qui ne détient pas l'autorité parentale ou la garde ainsi que l'enfant mineur ont réciproquement le droit d'entretenir les relations personnelles indiquées par les circonstances.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Autrefois considéré comme un droit naturel des parents, le droit aux relations personnelles est désormais conçu à la fois comme un droit et un devoir de ceux-ci (cf. art. 273 al. 2 CC), mais aussi comme un droit de la personnalité de l'enfant; il</w:t>
      </w:r>
    </w:p>
    <w:p>
      <w:r>
        <w:t>- 19/24 -</w:t>
      </w:r>
    </w:p>
    <w:p>
      <w:r>
        <w:t>C/27137/2018 doit servir en premier lieu l'intérêt de l'enfant, celui des parents venant en seconde position (ATF 136 I 178 consid. 5.3; arrêt du Tribunal fédéral 5A_184/2017 du</w:t>
      </w:r>
    </w:p>
    <w:p>
      <w:r>
        <w:rPr>
          <w:b/>
        </w:rPr>
        <w:t>E. 5.2</w:t>
      </w:r>
    </w:p>
    <w:p>
      <w:r>
        <w:t>En l'espèce, comme la Cour l'a considéré dans son arrêt sur mesures provisionnelles du 15 décembre 2020, l'intimé a exercé de façon sporadique son droit de visite depuis la séparation des parties en 2009 et celui-ci n'a plus eu lieu depuis le mois d'octobre 2018. Or, il résulte du rapport rendu par le SEASP qu'un droit de visite est dans l'intérêt de C______. La reprise des relations personnelles doit se faire de manière progressive, compte tenu des tensions importantes qui existent entre les parents et de leur méfiance réciproque concernant leurs capacités parentales. Aucune négligence ni aucune maltraitance n'a été constatée par la pédiatre de l'enfant, pas plus que par les autres professionnels de l'enfance. Les allégations de l'appelante de violences conjugales, contestées par l'intimé, ne sont corroborées par aucun élément du dossier. L'opposition de l'appelante à ce qu'un droit aux relations personnelles entre l'enfant et son père, basée notamment sur l'absence de volonté de C______ de voir son père, n'est pas fondée. En effet, le Tribunal, qui a procédé à l'audition de celle- ci, a considéré que le droit de visite était dans l'intérêt de l'enfant. En tout état, les craintes de l'appelante face à des allégués actes de violence sur l'enfant C______ - contestés par l'intimé - ne sont pas objectivées par la procédure et les divers intervenants et elles seront apaisées par l'exercice progressif d'un droit de visite, adapté et surveillé dans un premier temps par les professionnels de l'enfance, dans le cadre du Point Rencontre. Au regard de ce qui précède, c'est à raison que le Tribunal a adhéré à la recommandation du SEASP et instauré le droit de visite progressif sur une période de trois mois préconisé par celui-ci, étant relevé qu'il tient compte du fait que le père ne dispose pas d'un logement convenable pour accueillir sa fille et que l'appelante n'a pas établi que les mesures sanitaires nécessaires à la protection de l'enfant - déclarée personne vulnérable au COVID-19 - ne seraient pas mises en place au Point Rencontre. Contrairement à ce que soutient l'appelante, le curateur disposera de la faculté de saisir le TPAE au cas où il estimerait que les relations personnelles devraient être modifiées. Dans la mesure où le jugement de divorce ne fixe les modalités d'exercice des relations personnelles que pour les trois premiers mois et où le père n'allègue pas avoir trouvé un nouveau logement adéquat pour accueillir sa fille, il sera précisé que le droit de visite sera exercé, dès le troisième mois, les samedis et dimanches de 11h à 16h, tous les quinze jours.</w:t>
      </w:r>
    </w:p>
    <w:p>
      <w:r>
        <w:t>- 21/24 -</w:t>
      </w:r>
    </w:p>
    <w:p>
      <w:r>
        <w:t>C/27137/2018</w:t>
      </w:r>
    </w:p>
    <w:p>
      <w:r>
        <w:t>Le chiffre 3 du dispositif du jugement entrepris sera, dès lors, modifié dans le sens qui précède. 6. L'appelante conteste la curatelle d'assistance éducative instaurée par le Tribunal.</w:t>
      </w:r>
    </w:p>
    <w:p>
      <w:r>
        <w:t>6.1 Elle soutient qu'il n'en aurait jamais été question en première instance et que son droit d'être entendue aurait été violé par le premier juge. 6.1.1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(ATF 139 II 489 consid. 3.3; 139 I 189 consid. 3.2; 138 I 484 consid. 2.1). 6.1.2 In casu, l'appelante a eu l'occasion de s'exprimer tant par écrit qu'oralement après la reddition du rapport du SEASP, lequel préconise, notamment, l'instauration de ladite mesure, de sorte que le droit d'être entendu de l'appelante n'a pas été violé. 6.2 Elle soutient également, sur le fond, que cette mesure n'est pas appropriée, sans plus de développement. Au vu de l'absence de motivation de l'appel sur cette question, il ne sera pas entré en matière sur ce point (REETZ/THEILER, Kommentar zur Schweizerischen Zivilprozessordnung, 2013, n. 12 et n. 38 ad art. 311 CPC). 7. L'appelante réclame une indemnité équitable de 4'283 fr. 80 au sens de l'art. 124 CC.</w:t>
      </w:r>
    </w:p>
    <w:p>
      <w:r>
        <w:t>Elle soutient que c'est à tort que le Tribunal a renoncé au partage de la prévoyance professionnelle de l'intimé, les exceptions prévues par la loi n'étant pas réalisées.</w:t>
      </w:r>
    </w:p>
    <w:p>
      <w:r>
        <w:t>7.1 Les prétentions de prévoyance professionnelle acquises durant le mariage et jusqu'à l'introduction de la procédure de divorce sont par principe partagées entre les époux (art. 122 CC). Si, au moment de l'introduction de la procédure de divorce, l'un des époux perçoit une rente d'invalidité et qu'il n'a pas encore atteint l'âge réglementaire de la retraite, le montant auquel il aurait droit en vertu de l'art. 2, al. 1ter de la loi du</w:t>
      </w:r>
    </w:p>
    <w:p>
      <w:r>
        <w:rPr>
          <w:b/>
        </w:rPr>
        <w:t>E. 9</w:t>
      </w:r>
    </w:p>
    <w:p>
      <w:r>
        <w:t>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w:t>
      </w:r>
    </w:p>
    <w:p>
      <w:r>
        <w:rPr>
          <w:b/>
        </w:rPr>
        <w:t>E. 12</w:t>
      </w:r>
    </w:p>
    <w:p>
      <w:r>
        <w:t>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Pour le bien de l'enfant, les deux parents ont le devoir de favoriser une bonne relation avec l'autre parent. Le parent gardien doit en particulier préparer de manière positive l'enfant aux visites, aux contacts par G______ [visio], etc. Ces obligations sont étroitement liées à l'exercice du droit aux relations personnelles (ATF 142 III 1 consid. 3.4). Une limitation du droit de visite n'est justifiée que s'il y a lieu d'admettre au regard des circonstances que l'octroi d'un droit de visite usuel compromet le bien de l'enfant (ATF 131 III 209 consid. 5 et les références citées). La volonté de l'enfant est un élément pertinent pour la fixation du droit de visite.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w:t>
      </w:r>
    </w:p>
    <w:p>
      <w:r>
        <w:t>- 20/24 -</w:t>
      </w:r>
    </w:p>
    <w:p>
      <w:r>
        <w:t>C/27137/2018 est en règle générale le cas aux alentours de 12 ans révolus, ainsi que la constance de son avis sont centraux (arrêt du Tribunal fédéral 5A_459/2015 du 13 août 2015 consid. 6.2.2).</w:t>
      </w:r>
    </w:p>
    <w:p>
      <w:r>
        <w:rPr>
          <w:b/>
        </w:rPr>
        <w:t>E. 17</w:t>
      </w:r>
    </w:p>
    <w:p>
      <w:r>
        <w:t>décembre 1993 sur le libre passage en cas de suppression de sa rente est considéré comme prestation de sortie (art. 124 al. 1 CC). Les dispositions relatives au partage des prestations de sortie s'appliquent par analogie (art. 124 al. 2 CC).</w:t>
      </w:r>
    </w:p>
    <w:p>
      <w:r>
        <w:t>Selon l'art. 124b al. 2 CC, le juge attribue moins de la moitié de la prestation de sortie au conjoint créancier ou n'en attribue aucune pour de justes motifs. C'est le</w:t>
      </w:r>
    </w:p>
    <w:p>
      <w:r>
        <w:t>- 22/24 -</w:t>
      </w:r>
    </w:p>
    <w:p>
      <w:r>
        <w:t>C/27137/2018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Des différences de fortune ou de perspectives de gains ne constituent pas un motif suffisant de déroger à ce principe (Message LPP, FF 2013 4371). Il faut veiller à ce que chaque conjoint dispose d'une pension de retraite suffisante (GEISER, Gestaltungsmöglichkeiten beim Vorsorgeausgleich, in RJB 2017 1 [12], p. 13 ch. 3.3.2). Le partage est donc inéquitable lorsque l'un des époux subit des désavantages flagrants par rapport à l'autre conjoint (Message LPP, FF 2013 4371; LEUBA, Le nouveau droit du partage de la prévoyance professionnelle en cas de divorce, in FamPra.ch 2017 p. 25). Le principe d'un partage par moitié des prétentions de prévoyance professionnelle des époux doit donc guider le juge. Cependant, il ne s'agit nullement de l'appliquer de manière automatique; il faut tenir compte des circonstances du cas d'espèce et, ici aussi, se prononcer en équité (Message LPP, FF 2013 4364; LEUBA, op. cit., p. 14).</w:t>
      </w:r>
    </w:p>
    <w:p>
      <w:r>
        <w:t>7.2 In casu, la prestation de sortie accumulée par l'intimé pendant le mariage s'élève à 8'567 fr. 60, alors qu'il n'est pas contesté que l'appelante ne dispose d'aucun avoir de prévoyance professionnelle à partager. Toutefois, compte tenu de la grande différence d'âge entre les parties (27 ans), de leur âge respectif, du fait que l'intimé dispose de peu d'avoirs de prévoyance professionnelle et du fait que l'appelante aurait la possibilité de se constituer une prévoyance professionnelle durant 26 ans, il apparaît inéquitable de partager la prestation de sortie de l'intimé, de sorte que c'est à bon droit que le Tribunal y a renoncé.</w:t>
      </w:r>
    </w:p>
    <w:p>
      <w:r>
        <w:t>Ainsi, le chiffre 15 du dispositif du jugement entrepris sera confirmé. 8. Les frais sont mis à la charge de la partie succombante (art. 95 et 106 1ère phrase CPC). La Cour peut s'écarter des règles générales et répartir les frais selon sa libre appréciation, notamment lorsque le litige relève du droit de la famille (art. 107 al. 1 let. c CPC).</w:t>
      </w:r>
    </w:p>
    <w:p>
      <w:r>
        <w:t>8.1 Si l'instance d'appel statue à nouveau, elle se prononce sur les frais de la première instance (art. 318 al. 3 CPC).</w:t>
      </w:r>
    </w:p>
    <w:p>
      <w:r>
        <w:t>- 23/24 -</w:t>
      </w:r>
    </w:p>
    <w:p>
      <w:r>
        <w:t>C/27137/2018</w:t>
      </w:r>
    </w:p>
    <w:p>
      <w:r>
        <w:t>Dès lors que ni la quotité ni la répartition des frais et des dépens de première instance n'ont été remises en cause en appel et que ceux-ci ont été arrêtés conformément aux règles légales (art. 95, 96, 104 al. 1, 107 al. 1 let. c CPC; art. 5, 30 et 31 RTFMC), le jugement entrepris sera confirmé sur ce point.</w:t>
      </w:r>
    </w:p>
    <w:p>
      <w:r>
        <w:t>8.2 Les frais judiciaires de la procédure d'appel sont fixés à 1'750 fr., comprenant la décision sur mesures provisionnelles du 15 décembre 2020 (art. 30, 31 et 35 RTFMC).</w:t>
      </w:r>
    </w:p>
    <w:p>
      <w:r>
        <w:t>Pour des motifs d'équité liés à la nature, ils seront répartis à parts égales entre les parties (art. 95, 104 al. 1, 105, 106 al. 1 et 107 al. 1 let. c CPC). Dans la mesure où celles-ci plaident au bénéfice de l'assistance juridique, les frais judiciaires seront provisoirement supportés par l'Etat de Genève (art. 122 al. 1 let. b CPC), étant rappelé que le bénéficiaire de l'assistance juridique est tenu au remboursement des frais judiciaires mis à la charge de l'Etat dans la mesure de l'art. 123 CPC (art. 19 RAJ).</w:t>
      </w:r>
    </w:p>
    <w:p>
      <w:r>
        <w:t>Pour les mêmes motifs, chaque partie supportera ses propres dépens d'appel (art. 107 al. 1 let. c CPC). * * * * *</w:t>
      </w:r>
    </w:p>
    <w:p>
      <w:r>
        <w:t>- 24/24 -</w:t>
      </w:r>
    </w:p>
    <w:p>
      <w:r>
        <w:t>C/27137/2018 PAR CES MOTIFS, La Chambre civile : A la forme : Déclare recevable l'appel interjeté le 2 septembre 2020 par A______ contre les chiffres 2, 3, 5, 7, 8 et 15 du dispositif du jugement JTPI/7620/2020 rendu le 18 juin 2020 par le Tribunal de première instance dans la cause C/27137/2018-11. Au fond : Confirme les chiffres 2, 3, 7, 8 et 15 du dispositif du jugement entrepris. Modifie le chiffre 5 dudit dispositif en ce sens que le droit de visite sera exercé, dès le troisième mois, les samedis et dimanches de 11h à 16h, tous les quinze jours, et le confirme pour le surplus. Déboute les parties de toutes autres conclusions. Sur les frais : Arrête les frais judiciaires d'appel à 1'750 fr. et les met à la charge des parties par moitié chacune. Dit que les frais à la charge des parties sont provisoirement supportés par l'Etat de Genève, vu l'octroi de l'assistance judiciaire. Dit que chaque partie supporte ses propres dépens d'appel. Siégeant : Madame Jocelyne DEVILLE-CHAVANNE, présidente; Madame Verena PEDRAZZINI RIZZI,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