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ACJC/180/2015 vom 20. Februar 2015</w:t>
      </w:r>
    </w:p>
    <w:p>
      <w:r>
        <w:t>GE Cour de justice, 2015-02-20, FR</w:t>
      </w:r>
    </w:p>
    <w:p>
      <w:r>
        <w:rPr>
          <w:b/>
        </w:rPr>
        <w:t xml:space="preserve">Quelle: </w:t>
      </w:r>
      <w:r>
        <w:t>https://mcp.opencaselaw.ch/entscheid/ge_gerichte_ACJC_180_2015</w:t>
      </w:r>
    </w:p>
    <w:p>
      <w:r>
        <w:t>FR: GE_GERICHTE ACJC/180/2015 du 20 février 2015</w:t>
      </w:r>
    </w:p>
    <w:p>
      <w:r>
        <w:t>IT: GE_GERICHTE ACJC/180/2015 del 20 febbraio 2015</w:t>
      </w:r>
    </w:p>
    <w:p>
      <w:pPr>
        <w:pStyle w:val="Heading2"/>
      </w:pPr>
      <w:r>
        <w:t>Erwägungen</w:t>
      </w:r>
    </w:p>
    <w:p>
      <w:r>
        <w:rPr>
          <w:b/>
        </w:rPr>
        <w:t>E. 1.1</w:t>
      </w:r>
    </w:p>
    <w:p>
      <w:r>
        <w:t>L'appel est recevable contre les décisions de première instance sur les mesures provisionnelles; dans les affaires patrimoniales, il est recevable si la valeur litigieuse au dernier état des conclusions est de 10'000 fr. au moins (art. 308 al. 1 let. b et al. 2 CPC).</w:t>
      </w:r>
    </w:p>
    <w:p>
      <w:r>
        <w:t>- 8/16 -</w:t>
      </w:r>
    </w:p>
    <w:p>
      <w:r>
        <w:t>C/11736/2014 Le litige portant notamment sur des actions au porteur d'une valeur totale estimée à plus de 8,5 millions de francs, la voie de l'appel est ouverte contre l'ordonnance entreprise.</w:t>
      </w:r>
    </w:p>
    <w:p>
      <w:r>
        <w:rPr>
          <w:b/>
        </w:rPr>
        <w:t>E. 1.2</w:t>
      </w:r>
    </w:p>
    <w:p>
      <w:r>
        <w:t>Pour le surplus, l'appel est recevable pour avoir été interjeté auprès de l'autorité compétente (art. 120 al. 1 let. a LOJ), dans le délai utile de dix jours (art. 142 al. 3, 248 let. d, et 314 al. 1 CPC) et selon la forme prescrite par la loi (art. 130, 131 et 311 CPC).</w:t>
      </w:r>
    </w:p>
    <w:p>
      <w:r>
        <w:rPr>
          <w:b/>
        </w:rPr>
        <w:t>E. 2.1</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Berne, 2010, n. 1556). La preuve ne peut avoir pour objet que des faits pertinents et contestés susceptibles d'influer sur le sort de la cause (art. 150 al. 1 CPC; arrêts du Tribunal fédéral 4A_229/2012 du 19 juillet 2012 consid. 4 et 4A_502/2012 du 22 janvier 2013 consid. 3.1).</w:t>
      </w:r>
    </w:p>
    <w:p>
      <w:r>
        <w:rPr>
          <w:b/>
        </w:rPr>
        <w:t>E. 2.2</w:t>
      </w:r>
    </w:p>
    <w:p>
      <w:r>
        <w:t>En l'espèce, l'intimé n'indique pas quels éléments de fait nouveaux pertinents pour l'issue du litige pourraient être apportés au moyen de l'apport des procédures devant les autres juridictions, étant précisé qu'elles sont toujours pendantes. L'intimé n'a dès lors pas rendu vraisemblable la nécessité de procéder à une telle administration. Au demeurant, la Cour de céans ne distingue pas en quoi l'apport de ces procédures pourrait influer sur le sort de la cause, dès lors que l'existence des décisions contestées devant les juridictions est établie par pièces. Au vu de ce qui précède, il n'y a pas lieu d'ordonner des mesures d'instruction complémentaires. La cause est donc en état d'être jugée.</w:t>
      </w:r>
    </w:p>
    <w:p>
      <w:r>
        <w:rPr>
          <w:b/>
        </w:rPr>
        <w:t>E. 3.1</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- 9/16 -</w:t>
      </w:r>
    </w:p>
    <w:p>
      <w:r>
        <w:t>C/11736/2014</w:t>
      </w:r>
    </w:p>
    <w:p>
      <w:r>
        <w:rPr>
          <w:b/>
        </w:rPr>
        <w:t>E. 3.2</w:t>
      </w:r>
    </w:p>
    <w:p>
      <w:r>
        <w:t>Les pièces 112 et 113 produites par l'intimé – ainsi que les faits qui s'y rapportent – sont irrecevables en l'absence d'explication des motifs qui l'auraient empêché de les produire devant le Tribunal. En revanche, les pièces 114 à 117 de l'intimé sont recevables – ainsi que les allégués de faits s'y rapportant – car établies postérieurement à la date où le premier juge a gardé la cause à juger, soit le 22 juillet 2014.</w:t>
      </w:r>
    </w:p>
    <w:p>
      <w:r>
        <w:rPr>
          <w:b/>
        </w:rPr>
        <w:t>E. 4</w:t>
      </w:r>
    </w:p>
    <w:p>
      <w:r>
        <w:t>L'appelante reproche au Tribunal d'avoir procédé au blocage de l'ensemble des actions et de leur dividende et d'avoir limité ses droits d'actionnaire alors qu'elle a démontré que la donation par son père de la moitié de ces actions était valable et que le partage des actions provenant de la succession de sa mère avait déjà eu lieu de facto. 4.1.1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(ACJC/1219/2014 publié du 10 octobre 2014 consid. 5.2; BOHNET, in CPC, Code de procédure civile commenté, Bâle, 2011, n. 3 ad art. 261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1773 et 1774). Le juge doit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5P.422/2005 du 1er juin 2006 consid. 3 et les arrêts cités). Le requérant doit également rendre vraisemblable la nécessité d'une protection immédiate en raison d'un danger imminent menaçant ses droits, soit qu'ils risquent de ne plus être consacrés, ou seulement tardivement (BOHNET, op. cit., n. 10 ad art. 261 CPC).</w:t>
      </w:r>
    </w:p>
    <w:p>
      <w:r>
        <w:t>- 10/16 -</w:t>
      </w:r>
    </w:p>
    <w:p>
      <w:r>
        <w:t>C/11736/2014 Il doit enfin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 7 ad art. 261 CPC). 4.1.2 Selon l'art. 239 al. 1 CO, la donation est la disposition entre vifs par laquelle une personne cède tout ou partie de ses biens à une autre sans contre-prestation correspondante. Toute personne ayant l'exercice des droits civils peut disposer de ses biens par donation, sauf les restrictions dérivant du régime matrimonial ou du droit des successions (art. 240 al. 1 CO). Toute personne majeure et capable de discernement a l'exercice des droits civils (art. 13 CC). A teneur de l'art. 16 CC, toute personne qui n'est pas privée de la faculté d'agir raisonnablement en raison de son jeune âge, de déficience mentale, de troubles psychiques, d'ivresse ou d'autres causes semblables est capable de discernement (art. 16 CC). Cette capacité est présumée. Celui qui en allègue l'absence doit prouver l'incapacité de discernement au stade de la vraisemblance prépondérante (arrêts du Tribunal fédéral 6B_910/2013 du 20 janvier 2014 consid. 5.3.1; 4A_542/2012 du 24 janvier 2013 consid. 2.4, 6B_869/2010 du 16 septembre 2011 consid. 4.2, in SJ 2012 I p. 275). La partie induite à contracter par le dol de l'autre n'est pas obligée, même si l'erreur n'est pas essentielle (art. 28 al 1 CO). Le dol présuppose une tromperie, à savoir l'affirmation de faits faux ou la dissimulation d'éléments de fait existant. La tromperie doit être intentionnelle. Elle doit avoir provoqué une erreur de la victime. Enfin, la tromperie doit avoir eu un effet causal sur la décision de contracter de la victime (SCHWENZER, Basler Kommentar, 5ème éd., 2011, n. 3ss ad art. 28 CO). 4.1.3 S'il y a plusieurs 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la loi (art. 602 al. 2 CC). La communauté héréditaire naît immédiatement à l'ouverture de la succession, au jour du décès du de cujus. Elle existe de par la loi et impérativement dès qu'il y a plusieurs héritiers (ROUILLER, Commentaire du droit des successions, EIGENMANN/ROUILLER [éd.], 2012, n. 10 ad art. 602 CC).</w:t>
      </w:r>
    </w:p>
    <w:p>
      <w:r>
        <w:t>- 11/16 -</w:t>
      </w:r>
    </w:p>
    <w:p>
      <w:r>
        <w:t>C/11736/2014 Les revenus tirés des actifs successoraux (loyers, intérêts, dividendes, redevances) et les éventuels accroissements entrent dans la succession; ils n'appartiennent pas aux héritiers selon leur quote-part (ROUILLER, op. cit., n. 31 ad art. 602 CC). Chaque héritier a le droit d'user des biens qui entrent dans la succession dans le respect du droit identique qu'a chacun de ses cohéritiers (ROUILLER, op. cit., n. 33 ad art. 602 CC). Le partage oblige les héritiers dès que les lots ont été composés et reçus ou que l'acte de partage a été passé (art. 634 al. 1 CC). Cet acte n'est valable que s'il est fait en la forme écrite (art. 634 al. 2 CC). La conclusion d'un acte de partage, qui peut être complet ou partiel (ATF 115 II 323 = JT 1991 I 143) suppose que tous les héritiers aient manifesté de manière concordante leurs volontés, en application des règles générales du droit des obligations (art. 1 CO). La convention de partage doit faire clairement ressortir la volonté de tous les héritiers de se voir définitivement liés par le partage, intégral ou partiel, qu'ils ont arrêté; elle doit contenir toutes les indications permettant d'exécuter ce partage intégral ou partiel sans qu'il soit nécessaire de s'entendre sur d'autres points. L'accord de partage doit ainsi au moins prévoir quel bien revient à quel héritier (SCHAUFELBERGER / KELLER LÜSCHER, Basler Kommentar, 4ème ed., 2011, n. 15 et 19 ad art. 634 CC). 4.1.4 Les héritiers légaux qui ne reçoivent pas le montant de leur réserve (art. 471 CC) disposent de l'action en réduction contre les libéralités qui excèdent la quotité disponible (art. 522 al. 1 CC). Sont sujettes à réduction non seulement les libéralités pour cause de mort (institutions d'héritier, etc.) qui lèsent la réserve, mais également certaines libéralités entre vifs qui "vident" la réserve d'avance en diminuant la future masse successorale. Sont visées plus particulièrement, par l'action en réduction, les libéralités entre vifs faites à titre d'avancement d'hoirie sous forme de dot, d'établissement ou abandon de biens, quand elles ne sont pas soumises au rapport (art. 527 ch. 1 CC). Il faut comprendre l'art. 527 chiffre 1 CC en ce sens qu'il s'applique à toutes les libéralités qui, par leur nature, sont sujettes au rapport, mais y échappent par une disposition contraire du de cujus (ATF 116 II 667 consid. 2b)aa)). L'action en réduction débouche sur un jugement formateur qui modifie la libéralité attaquée. Si la libéralité attaquée n'a pas encore été exécutée, en demander la réduction suffira pour atteindre le résultat recherché, savoir le respect de la réserve. En revanche, si cette libéralité a déjà été exécutée, l'action en réduction ne suffit pas à reconstituer la réserve. Elle doit être complétée par une action en restitution de la partie de la libéralité qui a été réduite. Les deux actions sont généralement ouvertes en même temps, mais elles ne sont pas de même nature : la première est formatrice alors que la seconde est condamnatoire</w:t>
      </w:r>
    </w:p>
    <w:p>
      <w:r>
        <w:t>- 12/16 -</w:t>
      </w:r>
    </w:p>
    <w:p>
      <w:r>
        <w:t>C/11736/2014 (STEINAUER, Le droit des successions, 2006, n. 792 et 794, p. 383). Le Tribunal fédéral a jugé que l'action tend au versement d'une somme d'argent équivalente à la valeur de la réduction qui doit être opéré (ATF 110 II 228 consid. 7d = JdT 1985 I 626; STEINAUER, op. cit., n. 843, p. 406; EIGENMANN, Commentaire du droit des successions, EIGENMANN/ROUILLER [éd.], 2012, n. 2 ad art. 528 CC).</w:t>
      </w:r>
    </w:p>
    <w:p>
      <w:r>
        <w:rPr>
          <w:b/>
        </w:rPr>
        <w:t>E. 4.2</w:t>
      </w:r>
    </w:p>
    <w:p>
      <w:r>
        <w:t>En l'espèce, il y a lieu de distinguer les actions faisant partie de la succession de la mère des parties – 26 à 50 de chacune des sociétés immobilières – (4.2.1) de celles ayant fait l'objet de la donation entre l'appelante et son père – 1 à 25 de chacune des sociétés – (4.2.2).</w:t>
      </w:r>
    </w:p>
    <w:p>
      <w:r>
        <w:rPr>
          <w:b/>
        </w:rPr>
        <w:t>E. 4.2.1</w:t>
      </w:r>
    </w:p>
    <w:p>
      <w:r>
        <w:t>Lors du décès de la mère des parties, ces dernières ont hérité de la nue- propriété des actions au porteur 26 à 50 des deux sociétés. Ces actions sont toutefois physiquement restées dans les coffres de la régie et aucun accord de partage n'a été conclu entre les parties, de sorte qu'aucun partage n'a été opéré à ce moment. Après le décès du père des parties, la régie a remis les actions 26 à 37 à l'appelante qui les a acceptées. L'intimé a refusé cette répartition, laissant les actions 38 à 50 en mains de la régie, au motif que les successions n'étaient pas encore partagées. Or, en l'absence d'un acte de partage pris d'un commun accord entre les héritiers, la régie n'était pas compétente pour décider de la remise des actions aux héritiers. Faute d'accord de l'intimé sur ce partage manuel, les actions sont donc restées en indivision malgré la remise d'une partie de celles-ci à l'appelante. Certes, l'intimé a demandé à la régie de présenter les actions lors des assemblées générales. Il n'en a toutefois pas pris possession et a immédiatement contesté la répartition des actions. L'intimé ayant clairement exprimé sa volonté, sa participation aux votes lors des assemblées générales ne peut être interprétée comme une acceptation tacite du partage des actions. Au vu de ce qui précède, l'intimé a rendu vraisemblable que les actions 26 à 50 de chacune des sociétés est encore en indivision à ce jour et qu'elles doivent être partagées. Or, l'appelante se comporte d'ores et déjà comme l'unique propriétaire de la moitié de ces actions – puisqu'elle s'est faite inscrire comme telle lors des assemblées générales – qui appartiennent à la succession, de sorte que c'est à juste titre que le Tribunal a fait interdiction à celle-ci, et à toute autre personne détenant ces titres, de les vendre. L'intimé a également rendu vraisemblable que les assemblées générales des deux sociétés avaient décidé de distribuer des dividendes aux héritiers alors que ceux-ci reviennent à la succession tant que le partage n'a pas eu lieu. C'est donc également</w:t>
      </w:r>
    </w:p>
    <w:p>
      <w:r>
        <w:t>- 13/16 -</w:t>
      </w:r>
    </w:p>
    <w:p>
      <w:r>
        <w:t>C/11736/2014 avec raison que le premier juge a bloqué le versement de la part du dividende revenant à ces actions. Enfin, l'appelante, de par sa fonction d'administratrice dans les sociétés, a pris des décisions tendant à empêcher l'intimé d'user d'une partie des biens de la succession encore en indivision. Or, tant que le partage n'a pas eu lieu les deux parties doivent pouvoir bénéficier des biens de la succession sans préjudice sur l'autre. Par conséquent, la décision querellée sera également confirmée en tant qu'elle limite les droits de l'appelante aux décisions ne portant pas préjudice à l'intimé.</w:t>
      </w:r>
    </w:p>
    <w:p>
      <w:r>
        <w:rPr>
          <w:b/>
        </w:rPr>
        <w:t>E. 4.2.2</w:t>
      </w:r>
    </w:p>
    <w:p>
      <w:r>
        <w:t>En revanche, l'intimé n'a pas rendu vraisemblable que son père était incapable de discernement au moment de la donation du 12 octobre 2005 puisque cette capacité, non seulement présumée, a été reconnue par un médecin qui a examiné l'intéressé le jour même de la donation. Par ailleurs, l'intimé n'a pas apporté le moindre élément rendant plausible que l'appelante ait manipulé son père par des mensonges en vue de la conclusion du contrat de donation. Enfin, si faute d'annulation du testament l'intimé devait avoir gain de cause s'agissant de l'action en réduction, il ne deviendrait pas titulaire des actions litigieuses, mais obtiendrait uniquement le versement d'une somme d'argent correspondant à la valeur des actions. Dès lors, il est vraisemblable que l'appelante est la seule propriétaire des actions 1 à 25 des deux sociétés, de sorte que, dans le cadre des présentes mesures provisionnelles, il ne lui sera pas fait interdiction d'en disposer, étant relevé que l'intimé n'a pas allégué ni même rendu vraisemblable que sa sœur ait l'intention de vendre ces actions à un tiers. Rien ne justifie également de lui interdire de percevoir le dividende relatif à ces actions. En revanche, comme l'appelante n'est propriétaire que de la moitié du capital- actions, il y a lieu de limiter ses droits d'actionnaire afin de garantir le droit d'usage de l'intimé sur la partie non partagée de la succession (cf. supra 4.2.1 dernier paragraphe).</w:t>
      </w:r>
    </w:p>
    <w:p>
      <w:r>
        <w:rPr>
          <w:b/>
        </w:rPr>
        <w:t>E. 4.3</w:t>
      </w:r>
    </w:p>
    <w:p>
      <w:r>
        <w:t>Au vu de ce qui précède, l'ordonnance querellée doit être confirmée s'agissant des actions nos 26 à 50 des deux sociétés immobilières et annulée s'agissant des actions 1 à 25 de ces mêmes sociétés.</w:t>
      </w:r>
    </w:p>
    <w:p>
      <w:r>
        <w:rPr>
          <w:b/>
        </w:rPr>
        <w:t>E. 5</w:t>
      </w:r>
    </w:p>
    <w:p>
      <w:r>
        <w:t>Chaque partie obtenant partiellement gain de cause, les frais de la procédure d'appel, arrêtés à 2'000 fr. (art. 26 et 37 RTFMC), seront répartis par moitié entre elles (art. 106 al. 2 CPC), et compensés avec l'avance de 2'000 fr. fournie par l'appelante, qui reste acquise à l'Etat (art. 111 al. 1 CPC).</w:t>
      </w:r>
    </w:p>
    <w:p>
      <w:r>
        <w:t>- 14/16 -</w:t>
      </w:r>
    </w:p>
    <w:p>
      <w:r>
        <w:t>C/11736/2014 L'intimé sera en conséquence condamné à verser à l'appelante 1'000 fr. à titre des frais de recours. Chaque partie supportera ses propres dépens (art. 106 al. 2 CPC). Il n'y a pas lieu de revoir les frais et dépens de première instance (art. 318 al. 3 CPC a contrario) qui ont été répartis par moitié entre les parties par le premier juge.</w:t>
      </w:r>
    </w:p>
    <w:p>
      <w:r>
        <w:rPr>
          <w:b/>
        </w:rPr>
        <w:t>E. 6</w:t>
      </w:r>
    </w:p>
    <w:p>
      <w:r>
        <w:t>Le présent arrêt est susceptible d'un recours en matière civile au Tribunal fédéral (art. 72 al. 1 LTF), la valeur litigieuse étant supérieure à 30'000 fr. (cf. art. 51 al. 4 LTF et consid. 1.1 ci-dessus) au sens de l'art. 74 al. 1 let. b LTF. Seule la violation des droits constitutionnels peut être invoquée en application de l'art. 98 LTF. * * * * *</w:t>
      </w:r>
    </w:p>
    <w:p>
      <w:r>
        <w:t>- 15/16 -</w:t>
      </w:r>
    </w:p>
    <w:p>
      <w:r>
        <w:t>C/11736/2014 PAR CES MOTIFS, La Chambre civile : A la forme : Déclare recevable l'appel interjeté le 13 octobre 2014 par A______ contre l'ordonnance OTPI/1280/2014 rendue le 30 septembre 2014 par le Tribunal de première instance dans la cause C/11736/2014-1 SP. Au fond : Annule les chiffres 1 et 2 de cette ordonnance. Cela fait et statuant à nouveau : Ordonne le blocage en mains de P______, ______ Genève, de la moitié des revenus des immeubles propriétés de la SA F______ n° 26 et de la SI G______ 12, sous réserve des paiements nécessaires à la gestion courante de ces immeubles. Fait interdiction à A______, P______ et à la REGIE H______ de vendre les actions au porteur nos 26 à 50 de la SA F______ n° 26 et de la SI G______ 12 en leur possession. Confirme l'ordonnance pour le surplus. Déboute les parties de toutes autres conclusions. Sur les frais : Arrête les frais judiciaires du recours à 2'000 fr. Les met à la charge de A______ et C______, à raison d'une moitié chacun. Les compense avec l'avance de 2'000 fr. fournie par A______, qui reste acquise à l'Etat. Condamne en conséquence C______ à verser à A______ la somme de 1'000 fr. à titre des frais de recours. Dit qu'il n'est pas alloué de dépens. Siégeant : Monsieur Laurent RIEBEN, président; Madame Nathalie LANDRY-BARTHE et Madame Fabienne GEISINGER-MARIÉTHOZ, juges; Madame Céline FERREIRA, greffière. Le président : Laurent RIEBEN</w:t>
      </w:r>
    </w:p>
    <w:p>
      <w:r>
        <w:t>La greffière : Céline FERREIRA</w:t>
      </w:r>
    </w:p>
    <w:p>
      <w:r>
        <w:t>- 16/16 -</w:t>
      </w:r>
    </w:p>
    <w:p>
      <w:r>
        <w:t>C/11736/2014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