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ACJC/1809/2018 vom 15. Januar 2019</w:t>
      </w:r>
    </w:p>
    <w:p>
      <w:r>
        <w:t>GE Cour de justice, 2019-01-15, FR</w:t>
      </w:r>
    </w:p>
    <w:p>
      <w:r>
        <w:rPr>
          <w:b/>
        </w:rPr>
        <w:t xml:space="preserve">Quelle: </w:t>
      </w:r>
      <w:r>
        <w:t>https://mcp.opencaselaw.ch/entscheid/ge_gerichte_ACJC_1809_2018</w:t>
      </w:r>
    </w:p>
    <w:p>
      <w:r>
        <w:t>FR: GE_GERICHTE ACJC/1809/2018 du 15 janvier 2019</w:t>
      </w:r>
    </w:p>
    <w:p>
      <w:r>
        <w:t>IT: GE_GERICHTE ACJC/1809/2018 del 15 gennaio 2019</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Les actions alimentaires étant soumises à la procédure simplifiée (art. 295 et 244 ss CPC), le délai pour l'introduction de l'appel est de trente jours à compter de la notification de la décision (art. 311 al. 1 CPC).</w:t>
      </w:r>
    </w:p>
    <w:p>
      <w:r>
        <w:t>Formé en temps utile par une partie qui y a intérêt (art. 59 al. 2 let. a CPC) et portant sur des conclusions patrimoniales qui, capitalisées selon l'art. 92 al. 2 CPC, sont supérieures à 10'000 fr., l'appel est recevable.</w:t>
      </w:r>
    </w:p>
    <w:p>
      <w:r>
        <w:rPr>
          <w:b/>
        </w:rPr>
        <w:t>E. 1.2</w:t>
      </w:r>
    </w:p>
    <w:p>
      <w:r>
        <w:t>La Cour revoit la cause avec un plein pouvoir d'examen (art. 310 CPC), les maximes inquisitoire illimitée et d'office régissant la procédure, qui porte sur la contribution à l'entretien d'un enfant mineur, de sorte que la Cour établit les faits d'office et n'est pas liée par les conclusions des parties (art. 296 CPC), ni par l'interdiction de la reformatio in pejus (ATF 129 III 417 consid. 2.1.1; arrêt du Tribunal fédéral 5A_562/2009 du 18 janvier 2010 consid. 3.1).</w:t>
      </w:r>
    </w:p>
    <w:p>
      <w:r>
        <w:rPr>
          <w:b/>
        </w:rPr>
        <w:t>E. 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- 5/9 -</w:t>
      </w:r>
    </w:p>
    <w:p>
      <w:r>
        <w:t>C/20686/2017 Lorsque la procédure est soumise à la maxime inquisitoire illimitée, ce qui est notamment le cas dans les causes concernant les enfants mineurs (art. 296 CPC), les parties peuvent présenter des nova en appel même si les conditions de l'art. 317 al. 1 CPC ne sont pas réunies (ATF 144 III 349 consid. 4 2.1). Par conséquent, les pièces produites par l’appelant devant la Cour sont recevables.</w:t>
      </w:r>
    </w:p>
    <w:p>
      <w:r>
        <w:rPr>
          <w:b/>
        </w:rPr>
        <w:t>E. 3</w:t>
      </w:r>
    </w:p>
    <w:p>
      <w:r>
        <w:t>L’appelant reproche au Tribunal d’avoir fixé le point de départ du versement de la contribution à son entretien au 1er octobre 2018.</w:t>
      </w:r>
    </w:p>
    <w:p>
      <w:r>
        <w:rPr>
          <w:b/>
        </w:rPr>
        <w:t>E. 3.1</w:t>
      </w:r>
    </w:p>
    <w:p>
      <w:r>
        <w:t>L'enfant peut agir contre son père et sa mère afin de leur réclamer l'entretien pour l'avenir et pour l'année qui précède l'ouverture de l'action (art. 279 CC).</w:t>
      </w:r>
    </w:p>
    <w:p>
      <w:r>
        <w:t>L'obligation d'entretien trouve sa limite dans la capacité contributive du débirentier, en ce sens que le minimum vital de celui-ci doit être préservé (ATF 140 III 337 consid. 4.3; 135 III 66 consid. 2).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5A_819/2016 du 21 février 2017 consid. 9.3.2.2).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que l'on peut raisonnablement exiger d'elle afin de remplir ses obligations à l'égard du mineur (ATF 137 III 102 consid. 4.2.2.2; 128 III 4 consid. 4a; arrêt du Tribunal fédéral 5A_103/2017 du 11 mai 2017 consid. 3.3.4.2).</w:t>
      </w:r>
    </w:p>
    <w:p>
      <w:r>
        <w:t>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 en droit de la famille, lorsque l'entretien d'un enfant mineur est en jeu et que l'on est en présence de situations financières modestes, des exigences particulièrement élevées doivent être posées quant à la mise à profit de la capacité de gain du parent débirentier, celui-ci pouvant notamment se voir imputer un revenu basé sur une profession qu'il n'aurait pas eu à accepter selon les règles prévalant en matière d'assurance sociale (ATF 137 III 118 consid. 3.1; arrêt du Tribunal fédéral 5A_588/2010 du 12 janvier 2011 consid. 2.3). C'est pourquoi, le</w:t>
      </w:r>
    </w:p>
    <w:p>
      <w:r>
        <w:t>- 6/9 -</w:t>
      </w:r>
    </w:p>
    <w:p>
      <w:r>
        <w:t>C/20686/2017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(arrêt du Tribunal fédéral 5A_99/2011 du 26 septembre 2011 consid. 7.4.2 n. p. in ATF 137 III 604).</w:t>
      </w:r>
    </w:p>
    <w:p>
      <w:r>
        <w:t>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(ATF 129 III 417 consid. 2.2; 114 II 13 consid. 5; arrêts du Tribunal fédéral 5A_584/2018, 5A_597/2018 du 10 octobre 2018 consid. 5.2.1).</w:t>
      </w:r>
    </w:p>
    <w:p>
      <w:r>
        <w:t>Toutefois, lorsque le débirentier diminue volontairement son revenu, ou y renonce, alors qu'il savait, ou devait savoir, qu'il lui incombait d'assumer des obligations d'entretien, il n'est pas arbitraire de lui imputer le revenu qu'il gagnait précédemment, ce avec effet rétroactif au jour de la diminution (arrêts du Tribunal fédéral 5A_318/2014 du 2 octobre 2014 consid. 3.1.3.2; 5A_317/2011 du 22 novembre 2011 consid. 6.2, non publié aux ATF 137 III 614; 5A_612/2011 du 27 février 2012 consid. 2.1; 5A_341/2011 du 20 septembre 2011 consid. 2.5.1 ; 5A_848/2010 du 4 avril 2011 consid. 2, publié in FamPra.ch 2011, p. 717).</w:t>
      </w:r>
    </w:p>
    <w:p>
      <w:r>
        <w:t>La loi ne prescrit pas de méthode de calcul particulière pour arrêter la contribution d'entretien (ATF 128 III 411 consid. 3.2.2). Sa fixation relève de l'appréciation du juge, qui jouit d'un large pouvoir et applique les règles du droit et de l'équité (art. 4 CC; ATF 134 III 577 consid. 4; 127 III 136 consid. 3a; 111 II 410 consid. 2a).</w:t>
      </w:r>
    </w:p>
    <w:p>
      <w:r>
        <w:rPr>
          <w:b/>
        </w:rPr>
        <w:t>E. 3.2</w:t>
      </w:r>
    </w:p>
    <w:p>
      <w:r>
        <w:t>En l’espèce, il n’y a pas lieu de reprocher à l’intimé d’avoir quitté la République Dominicaine et du même mouvement l’activité professionnelle qu’il déployait dans ce pays dès lors que son déménagement avait pour but de se rapprocher de son enfant qui vit à Genève. En raison de l’éloignement de ces deux pays, il ne peut pas être reproché à l’intimé de ne pas avoir trouvé un emploi en Suisse avant son déménagement, même si cela a eu pour conséquence de le priver temporairement d’un revenu. Cela ne l’a, d’ailleurs, pas empêché de continuer de contribuer à l’entretien de son fils dans les mêmes proportions qu’avant son départ de la République Dominicaine.</w:t>
      </w:r>
    </w:p>
    <w:p>
      <w:r>
        <w:t>En revanche, l’intimé n’a pas rendu vraisemblable avoir entrepris les efforts que l’on pouvait attendre de lui pour retrouver un emploi dès son arrivée à Genève. En effet, il s’est limité à suivre un stage d’orientation professionnelle en mars 2017 sans rendre vraisemblable avoir activement recherché du travail. Il n'a produit ni les offres de service qu'il a envoyées, ni les éventuelles réponses qu'il aurait</w:t>
      </w:r>
    </w:p>
    <w:p>
      <w:r>
        <w:t>- 7/9 -</w:t>
      </w:r>
    </w:p>
    <w:p>
      <w:r>
        <w:t>C/20686/2017 reçues, étant précisé que la rubrique "justificatifs" des formulaires de recherches d'emploi est systématiquement vierge de toute indication, de sorte que ces documents ne suffisent pas à démontrer que ces recherches ont réellement été entreprises. Celles-ci ne sont validées que depuis le mois d’août 2017; l’intimé n’a pas rendu vraisemblable ne pas avoir été sanctionné par l’Office cantonal de l’assurance-chômage. Il n’a, par ailleurs, pas prouvé avoir pris des mesures pour se réinsérer professionnellement, notamment avoir suivi des formations, le cours de langue prétendument suivi n’étant attesté par aucun document. Des recherches actives auraient permis à l’intimé de retrouver un emploi dans un délai raisonnable qui peut être estimé à six mois, soit dès le mois de décembre 2016. Dès lors que le comportement de l’intimé s’apparente à une renonciation volontaire à obtenir une activité rémunérée, le point de départ du versement de la contribution due à l’entretien de l’appelant doit être arrêté au 1er janvier 2017 et non au 1er octobre 2018.</w:t>
      </w:r>
    </w:p>
    <w:p>
      <w:r>
        <w:t>Le chiffre 5 du dispositif du jugement attaqué sera par conséquent annulé en tant qu’il fixe le début du versement de la contribution au 1er octobre 2018 et il sera statué à nouveau (art. 318 al. 1 let. b CPC) dans le sens que l'intimé sera condamné à verser les contributions d'entretien, telles que fixées par le Tribunal et non contestées en appel, dès le 1er janvier 2017. Par souci de clarté, ce chiffre sera entièrement reformulé.</w:t>
      </w:r>
    </w:p>
    <w:p>
      <w:r>
        <w:rPr>
          <w:b/>
        </w:rPr>
        <w:t>E. 4.1</w:t>
      </w:r>
    </w:p>
    <w:p>
      <w:r>
        <w:t>Les frais sont mis à la charge de la partie qui succombe (art. 106 al.1 CPC). Le tribunal peut s'écarter des règles générales et répartir les frais selon sa libre appréciation, notamment dans les litiges relevant du droit de la famille (art. 107 al. 1 let. c CPC).</w:t>
      </w:r>
    </w:p>
    <w:p>
      <w:r>
        <w:t>Lorsque la Cour réforme en tout ou en partie le jugement entrepris, elle se prononce aussi sur les frais de première instance (art. 318 al. 3 CPC).</w:t>
      </w:r>
    </w:p>
    <w:p>
      <w:r>
        <w:rPr>
          <w:b/>
        </w:rPr>
        <w:t>E. 4.2</w:t>
      </w:r>
    </w:p>
    <w:p>
      <w:r>
        <w:t>En l'espèce, les frais de première instance et leur répartition, conformes aux normes précitées et au demeurant non contestés, seront confirmés par la Cour.</w:t>
      </w:r>
    </w:p>
    <w:p>
      <w:r>
        <w:rPr>
          <w:b/>
        </w:rPr>
        <w:t>E. 4.3</w:t>
      </w:r>
    </w:p>
    <w:p>
      <w:r>
        <w:t>Les frais judiciaires d'appel seront fixés à 400 fr. (art. 32 et 35 RTFMC) et mis à la charge de l’intimé qui succombe. Ce dernier plaidant au bénéfice de l'assistance judiciaire, ces frais seront provisoirement supportés par l'Etat de Genève (art. 122 al.1 let. b, 123 al. 1 CPC et 19 RAJ).</w:t>
      </w:r>
    </w:p>
    <w:p>
      <w:r>
        <w:t>Pour le surplus, chaque partie supportera ses propres dépens, vu la nature du litige et la qualité des parties (art. 95 al. 3 et 107 al. 1 let. c CPC). * * * * *</w:t>
      </w:r>
    </w:p>
    <w:p>
      <w:r>
        <w:t>- 8/9 -</w:t>
      </w:r>
    </w:p>
    <w:p>
      <w:r>
        <w:t>C/20686/2017 PAR CES MOTIFS, La Chambre civile : A la forme : Déclare recevable l'appel interjeté le 12 juillet 2018 par A______ contre le chiffre 5 du dispositif du jugement JTPI/9115/2018 rendu le 11 juin 2018 par le Tribunal de première instance dans la cause C/20686/2017-5. Au fond : Annule le chiffre 5 du dispositif du jugement entrepris et, statuant à nouveau sur ce point : Condamne C______ à verser en mains de B______, au titre de contribution à l’entretien de A______, par mois et d’avance, allocations familiales non comprises, dès le 1er janvier 2017, 570 fr. jusqu’à l'âge de 10 ans révolus et 770 fr. de 10 ans jusqu’à la majorité voire au-delà en cas d’études sérieuses et régulières. Confirme pour le surplus le jugement entrepris. Déboute les parties de toutes autres conclusions. Sur les frais : Arrête les frais judiciaires d'appel à 400 fr. et les met à la charge de C______. Dit qu’ils seront provisoirement pris en charge par l'Etat de Genève. Dit que chaque partie supporte ses propres dépens d’appel. Siégeant : Monsieur Ivo BUETTI, président; Madame Sylvie DROIN, Madame Nathalie RAPP, juges; Madame Camille LESTEVEN, greffière. Le président : Ivo BUETTI</w:t>
      </w:r>
    </w:p>
    <w:p>
      <w:r>
        <w:t>La greffière : Camille LESTEVEN</w:t>
      </w:r>
    </w:p>
    <w:p>
      <w:r>
        <w:t>- 9/9 -</w:t>
      </w:r>
    </w:p>
    <w:p>
      <w:r>
        <w:t>C/20686/2017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