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ACJC/1806/2020 vom 14. Dezember 2020</w:t>
      </w:r>
    </w:p>
    <w:p>
      <w:r>
        <w:t>GE Cour de justice, 2020-12-14, FR</w:t>
      </w:r>
    </w:p>
    <w:p>
      <w:r>
        <w:rPr>
          <w:b/>
        </w:rPr>
        <w:t xml:space="preserve">Quelle: </w:t>
      </w:r>
      <w:r>
        <w:t>https://mcp.opencaselaw.ch/entscheid/ge_gerichte_ACJC_1806_2020</w:t>
      </w:r>
    </w:p>
    <w:p>
      <w:r>
        <w:t>FR: GE_GERICHTE ACJC/1806/2020 du 14 décembre 2020</w:t>
      </w:r>
    </w:p>
    <w:p>
      <w:r>
        <w:t>IT: GE_GERICHTE ACJC/1806/2020 del 14 dicembre 2020</w:t>
      </w:r>
    </w:p>
    <w:p>
      <w:pPr>
        <w:pStyle w:val="Heading2"/>
      </w:pPr>
      <w:r>
        <w:t>Erwägungen</w:t>
      </w:r>
    </w:p>
    <w:p>
      <w:r>
        <w:rPr>
          <w:b/>
        </w:rPr>
        <w:t>E. 1</w:t>
      </w:r>
    </w:p>
    <w:p>
      <w:r>
        <w:t>En matière de mainlevée d'opposition, seule la voie du recours est ouverte (art. 309 let. b ch. 3 et 319 let. a CPC).</w:t>
      </w:r>
    </w:p>
    <w:p>
      <w:r>
        <w:t>La décision - rendue par voie de procédure sommaire (art. 251 let. a CPC) - doit être attaquée dans un délai de dix jours dès sa notification (art. 321 al. 2 CPC) par un recours écrit et motivé (art. 130 et 131 CPC), adressé à la Cour de justice.</w:t>
      </w:r>
    </w:p>
    <w:p>
      <w:r>
        <w:t>Il incombe à la partie recourante de motiver son recours, c'est-à-dire de démontrer le caractère erroné de la motivation attaquée (ATF 138 III 374 consid. 4.3.1 concernant l'appel, dont les principes sont applicables au recours; cf. CHAIX, Introduction au recours de la nouvelle procédure civile fédérale in SJ 2009 II p. 257 ss, p. 265). Pour satisfaire à cette exigence, il ne lui suffit ainsi pas de renvoyer aux moyens soulevés en première instance, ni de se livrer à des critiques</w:t>
      </w:r>
    </w:p>
    <w:p>
      <w:r>
        <w:t>- 8/13 -</w:t>
      </w:r>
    </w:p>
    <w:p>
      <w:r>
        <w:t>C/25707/2019 toutes générales de la décision attaquée; sa motivation doit être suffisamment explicite pour que l'instance de recours puisse la comprendre aisément, ce qui suppose une désignation précise des passages de la décision que la recourante attaque et des pièces du dossier sur lesquelles repose sa critique (ATF 138 III 374 consid. 4.3.1 précité).</w:t>
      </w:r>
    </w:p>
    <w:p>
      <w:r>
        <w:t>Interjeté dans le délai et la forme prévus par la loi, le recours est en l'espèce recevable.</w:t>
      </w:r>
    </w:p>
    <w:p>
      <w:r>
        <w:rPr>
          <w:b/>
        </w:rPr>
        <w:t>E. 2</w:t>
      </w:r>
    </w:p>
    <w:p>
      <w:r>
        <w:t>Dans le cadre d'un recours, l'autorité a un plein pouvoir d'examen en droit, mais un pouvoir limité à l'arbitraire en fait, n'examinant que les griefs formulés et motivés par le recourant (art. 320 CPC; HOHL, Procédure civile, Tome II, 2ème éd., 2010, n. 2307).</w:t>
      </w:r>
    </w:p>
    <w:p>
      <w:r>
        <w:rPr>
          <w:b/>
        </w:rPr>
        <w:t>E. 3</w:t>
      </w:r>
    </w:p>
    <w:p>
      <w:r>
        <w:t>Les conclusions, les allégations de faits et les preuves nouvelles sont irrecevables (art. 326 al. 1 CPC). La pièce nouvelle produite par l'intimée est irrecevable.</w:t>
      </w:r>
    </w:p>
    <w:p>
      <w:r>
        <w:rPr>
          <w:b/>
        </w:rPr>
        <w:t>E. 4</w:t>
      </w:r>
    </w:p>
    <w:p>
      <w:r>
        <w:t>Le recourant fait grief au Tribunal d'avoir violé l'art. 129 CPC en n'ordonnant pas la traduction des pièces produites par l'intimée, en particulier les pièces 5 et 7 sur lesquelles il a fondé sa décision.</w:t>
      </w:r>
    </w:p>
    <w:p>
      <w:r>
        <w:rPr>
          <w:b/>
        </w:rPr>
        <w:t>E. 4.1</w:t>
      </w:r>
    </w:p>
    <w:p>
      <w:r>
        <w:t>La procédure est conduite dans la langue officielle du canton dans lequel l'affaire est jugée. Les cantons qui reconnaissent plusieurs langues officielles règlent l4eur utilisation dans la procédure (art. 129 CPC). Si l'on doit exiger que les écritures des parties soient rédigées dans la langue officielle et que les débats se déroulent dans cette langue, l'on peut se montrer plus souple en ce qui concerne les titres produits en procédure, et cela même si le Code ne contient pas une disposition analogue à l'art. 53 al. 3 LTF permettant au Tribunal fédéral, avec l'accord des parties, de renoncer à une traduction des pièces qui ne sont pas rédigées dans une langue officielle. Selon une jurisprudence (ATF 128 I 273) qui semble toujours d'actualité, l'obligation de traduction pour les pièces peut être limitée aux passages topiques, pour autant naturellement qu'il ne s'agisse pas de procéder à une traduction orientée dénaturant le sens général du texte (en matière de sentence arbitrale, cf. ATF 138 III 520). Par ailleurs, le principe de la bonne foi implique que, si ni le juge ni l'autre partie ne réagissent à la production de titres en langue étrangère, l'on doit considérer que le vice est le cas échéant couvert. Cette hypothèse pourra se présenter notamment lorsque les titres sont rédigés dans une langue répandue et connue, telle que l'anglais (HALDY, CR-CPC, n. 3 à 5 ad art. 129 CPC).</w:t>
      </w:r>
    </w:p>
    <w:p>
      <w:r>
        <w:rPr>
          <w:b/>
        </w:rPr>
        <w:t>E. 4.2</w:t>
      </w:r>
    </w:p>
    <w:p>
      <w:r>
        <w:t>En l'espèce, les titres produits par l'intimée à l'appui de sa requête de mainlevée, en particulier les pièces 5 et 7, sont rédigées en langue anglaise. Les</w:t>
      </w:r>
    </w:p>
    <w:p>
      <w:r>
        <w:t>- 9/13 -</w:t>
      </w:r>
    </w:p>
    <w:p>
      <w:r>
        <w:t>C/25707/2019 passages utiles ont été traduits par l'intimée dans ses écritures. La recourante, qui critique de manière toute générale la traduction proposée, n'expose pas en quoi celle-ci serait erronée ni les conséquences de la traduction retenue sur l'issue du litige. A cela s'ajoute que le recourant a signé ces documents. Il est donc vraisemblable qu'il les a compris, en particulier au vu des montants en jeu. Il frise ainsi la témérité en soutenant qu'une traduction serait nécessaire pour lui permettre de faire valoir ses arguments. Enfin, le recourant a eu connaissance de la requête et des titres qui l'accompagnaient en février 2020, et n'en a sollicité la traduction que le 20 mai 2020. Quand bien même c'est à cette date qu'il a mandaté un avocat pour la défense de ses intérêts, il aurait pu, en même temps qu'il a sollicité à plusieurs reprises la prolongation du délai pour répondre, demander la traduction des pièces, requête ne nécessitant pas de compétences juridiques particulières. Au vu de ce qui précède, et pour autant que le grief soit recevable, il doit être rejeté.</w:t>
      </w:r>
    </w:p>
    <w:p>
      <w:r>
        <w:rPr>
          <w:b/>
        </w:rPr>
        <w:t>E. 5</w:t>
      </w:r>
    </w:p>
    <w:p>
      <w:r>
        <w:t>Le recourant fait grief au Tribunal d'avoir considéré que les titres produits valaient titre de mainlevée provisoire au sens de l'art. 82 LP.</w:t>
      </w:r>
    </w:p>
    <w:p>
      <w:r>
        <w:t>5.1.1 Le créancier dont la poursuite se fonde sur une reconnaissance de dette constatée par acte authentique ou sous seing privé peut requérir la mainlevée provisoire (art. 82 al. 1 LP). Le juge prononce la mainlevée si le débiteur ne rend pas immédiatement vraisemblable sa libération (art. 82 al. 2 LP). Il doit vérifier d'office notamment l'existence matérielle d'une reconnaissance de dette, l'identité entre le poursuivant et le créancier désigné dans ce titre, l'identité entre le poursuivi et le débiteur désigné et l'identité entre la prétention déduite en poursuite et la dette reconnue (GILLIERON, Commentaire de la loi fédérale sur la poursuite pour dettes et la faillite, 1999, n. 73 ss ad art. 82 LP). Constitue une reconnaissance de dette, au sens de l'art. 82 LP, l'acte signé par le poursuivi - ou son représentant - duquel il ressort sa volonté de payer au poursuivant, sans réserve ni condition, une somme d'argent déterminée ou aisément déterminable et exigible au moment de la réquisition de poursuite (ATF 130 III 87 consid. 3.1 et les références citées; JAEGER/WALDER/KULL/ KOTTMANN, Bundesgesetz über Schuldbetreibung und Konkurs, 4ème édition, 1997, n. 10 ad art. 82 LP). Nanti de la contestation du débiteur, le premier juge doit l'examiner sous le seul angle de la vraisemblance (art. 82 al. 2 LP). En effet, le juge de la mainlevée</w:t>
      </w:r>
    </w:p>
    <w:p>
      <w:r>
        <w:t>- 10/13 -</w:t>
      </w:r>
    </w:p>
    <w:p>
      <w:r>
        <w:t>C/25707/2019 provisoire statue selon l'apparence du droit et vérifie le meilleur droit apparent, puisque les parties ne peuvent administrer que les moyens de preuve immédiatement disponibles (GILLIERON, op cit., n. 82 ad art. 82 LP; JdT 1989 II 147). 5.1.2 Celui qui promet à un tiers, est tenu à des dommages et intérêts pour cause d'inexécution de la part de ce tiers (art. 111 CO). Selon l'art. 111 CO, sauf convention contraire, le promettant n'est pas tenu de réaliser le fait promis. Son obligation consiste à réparer le dommage que le bénéficiaire subit du fait que le tiers n'a pas eu un comportement conforme à la promesse. Ce faisant, il exécute son obligation : le promettant ne doit pas des « dommages-intérêts d'inexécution », contrairement à ce que pourrait laisser entendre le texte français de la norme. Le dommage à réparer consiste dans la différence entre la situation patrimoniale du bénéficiaire telle qu'elle est, et telle qu'elle serait si le tiers avait eu le comportement promis. L'exigibilité de l'obligation du promettant est également déterminée, en premier lieu, par la convention entre parties ou les termes de la promesse. A défaut, la prestation est due dès le moment où le fait du tiers n'est pas réalisé conformément à la promesse, sans qu'une mise en demeure soit nécessaire et sans que le bénéficiaire doive d'abord rechercher le tiers, dans l'hypothèse où ce dernier est obligé envers lui. Dans ce cas (tiers obligé) le bénéficiaire obtient deux créances : l'une contre le tiers pour inexécution, et l'autre en exécution contre le promettant. Les deux créances, qui n'ont pas nécessairement la même étendue, concourent; il n'y a ni solidarité (art. 143 CO), ni subsidiarité, ni cumul (le bénéficiaire ne saurait cumuler les indemnités au-delà de son dommage) (TEVINI, CR CO II, n. 12 et 14 ad art. 111 CO). 5.1.3 La promesse de porte-fort (art. 111 CO) vaut titre de mainlevée provisoire dans la poursuite introduite contre le garant si le poursuivant établit par titre l'existence et le montant du dommage que lui a causé l'inexécution de la prétention garantie. Le dommage peut, par exemple, correspondre au solde de la somme due par le débiteur principal (ABBET/VEUILLET, La mainlevée de l'opposition, 2017, n. 198 ad art. 82 LP).</w:t>
      </w:r>
    </w:p>
    <w:p>
      <w:r>
        <w:rPr>
          <w:b/>
        </w:rPr>
        <w:t>E. 5.2</w:t>
      </w:r>
    </w:p>
    <w:p>
      <w:r>
        <w:t>En l'espèce, le recourant critique le jugement de manière toute générale en se contentant d'affirmer que "aucune des pièces produites ne saurait valoir reconnaissance de dette au sens de la loi et de la jurisprudence précitée" et que "le rapprochement des pièces produites ne permet pas de parvenir à une autre solution". Il n'expose pas quel passage du jugement entrepris serait erroné, de sorte qu'il n'est pas possible de comprendre quel est son grief. En tout état, c'est à juste titre que le Tribunal a retenu que la "Letter of Indemnity" signée par le recourant était un porte-fort, valant reconnaissance de dette au sens</w:t>
      </w:r>
    </w:p>
    <w:p>
      <w:r>
        <w:t>- 11/13 -</w:t>
      </w:r>
    </w:p>
    <w:p>
      <w:r>
        <w:t>C/25707/2019 de l'art. 82 LP. En effet, elle contient l'engagement de celui-ci de payer toute somme due par l'Emprunteur à concurrence de 9'500'000 EUR, à première demande de la Banque, moyennant attestation que le montant réclamé correspond au montant impayé. Il résulte des autres pièces produites par l'intimée que le contrat conclu avec l'Emprunteur a été résilié, qu'en conséquence le remboursement du capital versé était exigible, intérêts et frais compris, soit une somme supérieure à celle en poursuite, dûment rendue vraisemblable. Le recours, pour autant qu'il soit recevable, est dès lors infondé sur ce point également.</w:t>
      </w:r>
    </w:p>
    <w:p>
      <w:r>
        <w:rPr>
          <w:b/>
        </w:rPr>
        <w:t>E. 6</w:t>
      </w:r>
    </w:p>
    <w:p>
      <w:r>
        <w:t>Le recourant reproche à l'intimée sa mauvaise foi, en lui réclamant une créance qu'elle a déjà fait valoir contre sa débitrice principale. A cet égard il soutient que "il ne fait aucun doute qu'une telle vente permettra de satisfaire l'intimée" et prétend que, par la poursuite dirigée contre lui, la Banque cherche à être payée deux fois.</w:t>
      </w:r>
    </w:p>
    <w:p>
      <w:r>
        <w:rPr>
          <w:b/>
        </w:rPr>
        <w:t>E. 6.1</w:t>
      </w:r>
    </w:p>
    <w:p>
      <w:r>
        <w:t>Selon l'art. 2 al. 1 CC, chacun est tenu d'exercer ses droits et d'exécuter ses obligations selon les règles de la bonne foi. L'abus manifeste d'un droit n'est pas protégé par la loi (art. 2 al. 2 CC). Cette règle permet au juge de corriger les effets de la loi dans certains cas où l'exercice d'un droit allégué créerait une injustice manifeste. Le juge apprécie la question au regard des circonstances concrètes. L'exercice d'un droit est manifestement abusif lorsqu'il est contraire au but de ce droit ou crée une injustice manifeste. Il y a ainsi abus de droit lorsqu'une institution est utilisée, de façon contraire au droit, pour la réalisation d'intérêts que cette institution n'a pas pour but de protéger (ATF 131 III 535 consid. 4.2; 107 Ia 206 consid. 3; 133 II 6 consid. 3.2). L'abus de droit doit être admis restrictivement, comme l'exprime l'adjectif « manifeste » utilisé dans le texte légal (ATF 143 III 279 consid. 3.1; 135 III 162 consid. 3.3.1 et les arrêts cités). L'abus de droit peut être invoqué dans la procédure de mainlevée provisoire; cette exception reste toutefois exceptionnelle dans la mesure où l'instruction des questions factuelles correspondantes est généralement incompatible avec la nature documentaire de la procédure de mainlevée (ABBET/VEUILLET, op. cit., n. 134 ad art. 82 LP).</w:t>
      </w:r>
    </w:p>
    <w:p>
      <w:r>
        <w:rPr>
          <w:b/>
        </w:rPr>
        <w:t>E. 6.2</w:t>
      </w:r>
    </w:p>
    <w:p>
      <w:r>
        <w:t>En l'espèce, pour autant qu'on le comprenne, le recourant soutient que l'intimée ferait valoir sa créance à son encontre de manière abusive.</w:t>
      </w:r>
    </w:p>
    <w:p>
      <w:r>
        <w:t>- 12/13 -</w:t>
      </w:r>
    </w:p>
    <w:p>
      <w:r>
        <w:t>C/25707/2019</w:t>
      </w:r>
    </w:p>
    <w:p>
      <w:r>
        <w:t>Pourtant aucun élément du dossier ne permet de parvenir à une telle conclusion. Le recourant s'est engagé à payer à la Banque de manière inconditionnelle le montant que celle-ci lui réclamerait, correspondant à celui impayé par l'Emprunteur. Comme l'a justement retenu le Tribunal, le recourant ne rend pas vraisemblable que le montant réclamé par l'intimée serait supérieur à celui impayé, lequel ressort des pièces. Il n'a pas non plus fourni le moindre élément concret permettant de retenir, même sous l'angle de la vraisemblance, que la Banque serait entièrement (ou même partiellement) désintéressée à l'issue de la vente reportée au 16 octobre 2020.</w:t>
      </w:r>
    </w:p>
    <w:p>
      <w:r>
        <w:t>Le grief est infondé, de sorte que le recours sera rejeté.</w:t>
      </w:r>
    </w:p>
    <w:p>
      <w:r>
        <w:rPr>
          <w:b/>
        </w:rPr>
        <w:t>E. 7</w:t>
      </w:r>
    </w:p>
    <w:p>
      <w:r>
        <w:t>Le recourant, qui succombe entièrement, sera condamné aux frais judiciaires du recours, arrêtés à 3'000 fr., y compris la décision sur effet suspensif, compensés avec l'avance fournie, acquise à l'Etat (art. 106 et 111 al. 1 CPC).</w:t>
      </w:r>
    </w:p>
    <w:p>
      <w:r>
        <w:t>Il sera en outre condamné à verser à l'intimée la somme de 5'000 fr., débours et TVA compris (art. 84, 89 et 90 RTFMC; art. 25 et 26 LaCC). * * * * *</w:t>
      </w:r>
    </w:p>
    <w:p>
      <w:r>
        <w:t>- 13/13 -</w:t>
      </w:r>
    </w:p>
    <w:p>
      <w:r>
        <w:t>C/25707/2019 PAR CES MOTIFS, La Chambre civile : A la forme : Déclare recevable le recours interjeté le 14 septembre 2020 par A______ contre le jugement JTPI/10254/2020 rendu le 27 août 2020 par le Tribunal de première instance dans la cause C/25707/2019-18 SML. Au fond : Le rejette. Déboute les parties de toute autre conclusion. Sur les frais : Arrête les frais judiciaires du recours à 3'000 fr., les met à la charge de A______, et dit qu'ils sont compensés avec l'avance fournie par ce dernier, acquise à l'Etat de Genève. Condamne A______ à verser à B______ SA la somme de 5'000 fr. à titre de dépens de recours. Siégeant : Madame Pauline ERARD, présidente; Madame Sylvie DROIN et Madame Nathalie LANDRY-BARTHE, juges; Madame Mélanie DE RESENDE PEREIRA, greffière. La présidente : Pauline ERARD</w:t>
      </w:r>
    </w:p>
    <w:p>
      <w:r>
        <w:t>La greffière : Mélanie DE RESENDE PEREIRA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