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ACJC/1802/2020 vom 27. Februar 2020</w:t>
      </w:r>
    </w:p>
    <w:p>
      <w:r>
        <w:t>GE Cour de justice, 2020-02-27, FR</w:t>
      </w:r>
    </w:p>
    <w:p>
      <w:r>
        <w:rPr>
          <w:b/>
        </w:rPr>
        <w:t xml:space="preserve">Quelle: </w:t>
      </w:r>
      <w:r>
        <w:t>https://mcp.opencaselaw.ch/entscheid/ge_gerichte_ACJC_1802_2020</w:t>
      </w:r>
    </w:p>
    <w:p>
      <w:r>
        <w:t>FR: GE_GERICHTE ACJC/1802/2020 du 27 février 2020</w:t>
      </w:r>
    </w:p>
    <w:p>
      <w:r>
        <w:t>IT: GE_GERICHTE ACJC/1802/2020 del 27 febbraio 2020</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L'appel, écrit et motivé, est introduit auprès de l'instance d'appel dans les 30 jours à compter de la notification de la décision motivée (art. 311 al. 1 CPC). Il doit par ailleurs comporter des conclusions.</w:t>
      </w:r>
    </w:p>
    <w:p>
      <w:r>
        <w:rPr>
          <w:b/>
        </w:rPr>
        <w:t>E. 1.2.1</w:t>
      </w:r>
    </w:p>
    <w:p>
      <w:r>
        <w:t>Les conclusions doivent être suffisamment précises pour qu'en cas d'admission, elles puissent être reprises sans modification dans le dispositif de la décision (cf. ATF 137 III 617 c. 4.2 i.f., JdT 2014 II 187; arrêt du Tribunal fédéral 5A_775/2018 du 15 avril 2019 consid. 3.4). Il découle de la maxime de disposition (art. 58 al. 1 CPC) que les conclusions tendant au paiement d'une somme d'argent doivent être chiffrées (art. 84 al. 2 CPC; ATF 142 III 102 consid. 5.3.1; 134 III 235; BOHNET, in Code de procédure civile, Commentaire romand, 2ème éd. 2019, n. 2 ad art. 85 CPC). Toutefois,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 L'art. 85 CPC n'a ainsi pas pour effet de limiter la portée de la maxime de disposition, le demandeur n'étant pas libéré de son obligation de chiffrer ses prétentions, mais pouvant seulement différer le moment auquel il doit y procéder. L'absence de conclusion chiffrée n'est pas assimilable à un vice de forme susceptible d'être rectifié conformément à l'art. 132 CPC (ATF 137 III 617 consid. 6.4; arrêts du Tribunal fédéral 4A_164/2016 du 18 octobre 2016 consid. 3.4; 4A_375/2015 du 26 janvier 2016 consid. 7.2, non publié in ATF 142 III 102). Une partie qui a pris des conclusions insuffisantes en première instance ne peut corriger cette négligence procédurale en appel (arrêt du Tribunal fédéral 5A_793/2014 du 18 mai 2015 consid. 3.2.6, non publié in ATF 141 III 302).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(arrêts du Tribunal fédéral 5A_527/2016 du 16 novembre 2016 consid. 3.3.1; 4A_627/2015 du 9 juin 2016 consid. 5.2 et les références).</w:t>
      </w:r>
    </w:p>
    <w:p>
      <w:r>
        <w:t>- 8/14 -</w:t>
      </w:r>
    </w:p>
    <w:p>
      <w:r>
        <w:t>C/11339/2018</w:t>
      </w:r>
    </w:p>
    <w:p>
      <w:r>
        <w:rPr>
          <w:b/>
        </w:rPr>
        <w:t>E. 1.2.2</w:t>
      </w:r>
    </w:p>
    <w:p>
      <w:r>
        <w:t>Le juge établit les faits d'office pour toutes les questions qui touchent à la prévoyance professionnelle (art. 277 al. 3 CPC).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w:t>
      </w:r>
    </w:p>
    <w:p>
      <w:r>
        <w:rPr>
          <w:b/>
        </w:rPr>
        <w:t>E. 1.2.3</w:t>
      </w:r>
    </w:p>
    <w:p>
      <w:r>
        <w:t>Le principe de disposition n'interdit pas au tribunal de déterminer le sens véritable des conclusions et de statuer sur cette base, plutôt que selon leur libellé inexact ou imprécis (arrêts 5A_753/2018 du 21 janvier 2019 consid. 3.1; 5A_527/2016 précité consid. 3.3.1). Les conclusions doivent être interprétées selon le principe de la confiance, à la lumière de la motivation de l'acte (ATF 137 III 617 consid. 6.2; 123 IV 125 consid. 1; arrêt 4A_375/2012 du 20 novembre 2012 consid. 1.2, non publié in ATF 139 III 24, et les références); l'interdiction du formalisme excessif (sur cette notion, cf. ATF 142 I 10 consid. 2.4.2 et les références; 142 IV 299 consid. 1.3.2) commande, pour sa part, de ne pas se montrer trop strict dans la formulation des conclusions si, à la lecture du mémoire, on comprend clairement ce que veut le recourant (arrêts 5A_887/2017 du 16 février 2018 consid. 2; 5A_950/2015 du 29 septembre 2016 consid. 8.4; 5A_866/2015 du 2 mai 2016 consid. 1.2, non publié in ATF 142 III 364, et les références).</w:t>
      </w:r>
    </w:p>
    <w:p>
      <w:r>
        <w:rPr>
          <w:b/>
        </w:rPr>
        <w:t>E. 1.3</w:t>
      </w:r>
    </w:p>
    <w:p>
      <w:r>
        <w:t>L'appelante conclut à ce que soit ordonné "le partage des avoirs de prévoyance professionnelle accumulés par l'intimé durant le mariage, soit du ______ 1988 à juin 2016". L'appel ne comporte ainsi aucune conclusion chiffrée quant au montant qui doit lui être alloué et le montant des avoirs dont le partage est sollicité ne figue nulle part dans l'appel. Si cette absence était admissible dans sa demande déposée devant le Tribunal, avant que l'intimé ne produise les pièces pertinentes à cet égard, elle ne l'est plus après. Les conclusions de l'appel ne comportent pas davantage de clé de partage des avoirs de prévoyance professionnelle de l'intimé, contrairement à ce qui figurait dans les conclusions de la demande. L'appelante conclu par ailleurs à ce qu'il soit ordonné à la "caisse LPP" de l'intimé de "verser le montant sur le compte de libre passage de l'appelante", tout en précisant qu'en raison de la situation sanitaire, elle ne pouvait pas venir en Suisse pour ouvrir un compte de libre passage. L'intimé, qui ne travaille plus en Suisse depuis 2015, n'est cependant plus affilié à une caisse LPP et l'appelante ne mentionne plus la fondation de libre passage gérant la prestation de sortie de</w:t>
      </w:r>
    </w:p>
    <w:p>
      <w:r>
        <w:t>- 9/14 -</w:t>
      </w:r>
    </w:p>
    <w:p>
      <w:r>
        <w:t>C/11339/2018 l'intimé qu'elle mentionnait dans sa demande, dont les coordonnées exactes ne figurent pas à la procédure. Elle ne mentionne par ailleurs plus le compte dont elle indiquait le numéro IBAN dans ses conclusions devant le Tribunal, mais un compte de libre passage qu'elle indique ne pas détenir en l'état, étant relevé que si elle n'avait pas la possibilité de voyager en Suisse à la date du dépôt de son appel, en avril 2020, elle aurait eu depuis, avant que la cause soit gardée à juger en octobre 2020, la possibilité de le faire. Cela étant, même si les conclusions de l'appelante, représentée par une avocate, ne comportent formellement pas d'indication sur plusieurs points essentiels et si statuer sur l'appel nécessite de compléter celles-ci à de nombreux égards, en ce qui concerne par exemple la localisation exacte des fonds de l'intimé, il est cependant possible de comprendre, pour l'essentiel, ce que réclame l'appelante. L'appel ne sera donc pas déclaré irrecevable.</w:t>
      </w:r>
    </w:p>
    <w:p>
      <w:r>
        <w:rPr>
          <w:b/>
        </w:rPr>
        <w:t>E. 2</w:t>
      </w:r>
    </w:p>
    <w:p>
      <w:r>
        <w:t>La question de la compétence des tribunaux suisses se pose toutefois en l'espèce, étant relevé que cette question est examinée d'office par le juge (art. 60 CPC). L'appelante a indiqué, à juste titre, que, contrairement à ce qu'a considéré le Tribunal, cette compétence ne pouvait se fonder sur l'art. 64 al. 1bis LDIP, en vigueur depuis le 1er janvier 2017, lequel dispose que pour connaître du partage de prétentions de prévoyance professionnelle envers une institution suisse de prévoyance professionnelle, la compétence des tribunaux suisses est exclusive et qui prévoit en outre qu'en l'absence de compétence au sens de l'art. 64 al. 1 LDIP, les tribunaux suisses du siège de l'institution de prévoyance sont compétents. En effet, cette disposition ne s'applique pas à la reconnaissance de jugements antérieurs à son entrée en vigueur (ATF 145 III 109); aucun élément ne permet de retenir, en tout état de cause, que le siège de l'institution de prévoyance détenant des avoirs de l'intimé, aurait son siège à Genève, comme l'a retenu le Tribunal. Partant, la question de la reconnaissance et la nécessité de compléter le jugement espagnol litigieux s'apprécie in casu selon les règles de la LDIP en vigueur avant le 1er janvier 2017.</w:t>
      </w:r>
    </w:p>
    <w:p>
      <w:r>
        <w:rPr>
          <w:b/>
        </w:rPr>
        <w:t>E. 2.1</w:t>
      </w:r>
    </w:p>
    <w:p>
      <w:r>
        <w:t>Selon l'art. 64 al. 1 aLDIP, les tribunaux suisses sont compétents pour connaître d'une action en complément ou en modification d'un jugement de divorce ou de séparation de corps s'ils ont prononcé ce jugement ou s'ils sont compétents en vertu des art. 59 ou 60 LDIP; sont réservées les dispositions sur la protection des mineurs (art. 85 LDIP). L'art. 59 LDIP n'entrant pas en ligne de compte en l'espèce – puisqu'il mentionne les tribunaux suisses du domicile de l'une ou l'autre des parties et qu'en l'occurrence, celles-ci sont toutes deux domiciliées en Espagne – seul l'art. 60 LDIP, invoqué par l'appelante, est applicable, compte tenu du fait qu'elle est originaire de Genève.</w:t>
      </w:r>
    </w:p>
    <w:p>
      <w:r>
        <w:t>- 10/14 -</w:t>
      </w:r>
    </w:p>
    <w:p>
      <w:r>
        <w:t>C/11339/2018</w:t>
      </w:r>
    </w:p>
    <w:p>
      <w:r>
        <w:rPr>
          <w:b/>
        </w:rPr>
        <w:t>E. 2.1.1</w:t>
      </w:r>
    </w:p>
    <w:p>
      <w:r>
        <w:t>Selon l'art. 60 LDIP, lorsque les époux ne sont pas domiciliés en Suisse et que l'un d'eux est suisse, les tribunaux du lieu d'origine sont compétents pour connaître d'une action en divorce ou en séparation de corps, si l'action ne peut être intentée au domicile de l'un des époux ou si l'on ne peut raisonnablement exiger qu'elle le soit. Cette règle a transformé l'ancien for ordinaire du lieu d'origine, accessible sans autre condition que celle de la nationalité suisse (art. 7g de la loi fédérale du 25 juin 1891 sur les rapports de droit civil des citoyens établis ou en séjour [LRDC; RO 1890-92 p. 337]), en un for subsidiaire. Le législateur est parti de l'idée que les Suisses vivant à l'étranger doivent s'adresser en priorité aux autorités compétentes de leur pays de domicile. Le for fondé sur la seule nationalité constitue ainsi un for exorbitant; il s'impose donc d'en réduire la portée aux hypothèses où il existe concrètement des intérêts dignes de protection (cf. Message du 10 novembre 1982 concernant une loi fédérale sur le droit international privé [loi de DIP], FF 1983 I 347 ch. 235.2). L'art. 60 LDIP a pour but de prévoir le for d'origine, au premier chef, lorsque les époux ou l'un d'eux sont confrontés à "l'impossibilité" ou à une "grande difficulté" d'accéder à la justice dans le pays de leur domicile. La condition du besoin de protection, introduite par cette disposition, peut aussi se comprendre par référence au contenu du droit applicable, qui peut notamment empêcher l'action d'aboutir, ou encore à l'absence de reconnaissance de la décision en Suisse (arrêt du Tribunal fédéral 5A_706/2014 du 14 janvier 2015, consid. 3.2).</w:t>
      </w:r>
    </w:p>
    <w:p>
      <w:r>
        <w:rPr>
          <w:b/>
        </w:rPr>
        <w:t>E. 2.1.2</w:t>
      </w:r>
    </w:p>
    <w:p>
      <w:r>
        <w:t>Une convention étrangère reconnue en Suisse lie une institution de prévoyance suisse si celle-ci a produit dans la procédure de divorce étrangère une attestation confirmant le caractère exécutable de cette convention. Si tel n'a pas été le cas, le tribunal étranger ne peut que constater le principe et les proportions du partage, le calcul des prestations devant être opéré par le tribunal suisse compétent selon l'art. 73 LPP en relation avec l'art. 25a LFLP (ATF 130 III 336, consid. 2).</w:t>
      </w:r>
    </w:p>
    <w:p>
      <w:r>
        <w:rPr>
          <w:b/>
        </w:rPr>
        <w:t>E. 2.2</w:t>
      </w:r>
    </w:p>
    <w:p>
      <w:r>
        <w:t>En l'espèce, l'appelante fonde la compétence de tribunaux genevois sur le seul fait qu'elle est originaire de Genève. Cette circonstance ne suffit cependant pas, à elle seule, à fonder une compétence desdits tribunaux. L'appelante n'allègue cependant d'aucune manière que les tribunaux espagnols ne pouvaient se saisir de sa demande et elle n'explique pas pour quel motif elle serait dans l'impossibilité de leur demander le complétement du jugement du 14 juin 2016 sur ce point ou en quoi elle serait confrontée à une grande difficulté, justifiant qu'elle s'adresse aux tribunaux de son lieu d'origine. Aucun élément ne permet de considérer que tel serait le cas puisqu'il n'est pas exclu, sur le principe, que les tribunaux espagnols statuent sur la question des avoirs de prévoyance professionnelle des parties situés en Suisse.</w:t>
      </w:r>
    </w:p>
    <w:p>
      <w:r>
        <w:t>- 11/14 -</w:t>
      </w:r>
    </w:p>
    <w:p>
      <w:r>
        <w:t>C/11339/2018 Il ne peut dès lors être considéré que les conditions de l'art. 60 LDIP sont remplies. Les tribunaux genevois ne sont donc pas compétents pour statuer sur la demande de complétement du jugement de divorce espagnol. La demande est donc irrecevable à cet égard (cf. art. 59 al. 2 let. b CPC a contrario). Le ch. 1 du dispositif du jugement attaqué sera dès lors annulé puisqu'il ne déclare pas irrecevable la demande et il sera à nouveau statué en ce sens.</w:t>
      </w:r>
    </w:p>
    <w:p>
      <w:r>
        <w:rPr>
          <w:b/>
        </w:rPr>
        <w:t>E. 3</w:t>
      </w:r>
    </w:p>
    <w:p>
      <w:r>
        <w:t>Enfin, en tout état de cause, le jugement du Tribunal ne prête pas le flanc à la critique en tant qu'il a rejeté la prétention de l'appelante en complétement du jugement de divorce espagnol.</w:t>
      </w:r>
    </w:p>
    <w:p>
      <w:r>
        <w:rPr>
          <w:b/>
        </w:rPr>
        <w:t>E. 3.1</w:t>
      </w:r>
    </w:p>
    <w:p>
      <w:r>
        <w:t>Il est rappelé que selon l'art. 124b al. 2 CC,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arrêt 5A_153/2019 du 3 septembre 2019 consid. 6.3.2).</w:t>
      </w:r>
    </w:p>
    <w:p>
      <w:r>
        <w:rPr>
          <w:b/>
        </w:rPr>
        <w:t>E. 3.2</w:t>
      </w:r>
    </w:p>
    <w:p>
      <w:r>
        <w:t>En l'espèce, la convention de divorce signée par les parties octroie à l'appelante une "prestation compensatoire, conformément l'article 233-14 et suivants du Code Civil de Catalogne", ainsi qu'à la "compensation économique pour des motifs de travail, conformément l'article 232-5 et suivants du Code Civil de Catalogne", ce qui a permis à l'appelante d'obtenir à ce dernier titre un montant de 275'000 EUR, équivalant à la moitié des avoirs de prévoyance professionnelle dont le partage et requis et acquitté au moyen du produit de la vente de la villa dont l'intimé était seul propriétaire et acquise au moyen de ses biens propres. En outre, les parties ont prévu à l'art. 6 de cette convention que celle-ci "constitu[ait] un ensemble indivisible", de sorte que prévoir un partage des avoirs de prévoyance professionnelle créerait un déséquilibre qui n'avait pas été envisagé lors de la conclusion de ladite convention. Cet article prévoit en outre que les parties renonçaient à "toute réclamation économique dérivant de leur relation matrimoniale, précédente ou ultérieure à la signature de la présente convention", ce qui ne comprend pas uniquement d'éventuelles prétentions découlant du régime matrimonial. Un partage des avoirs de prévoyance de l'intimé, après que l'appelante a déjà obtenu 275'000 EUR alors que les parties étaient soumises au régime de la</w:t>
      </w:r>
    </w:p>
    <w:p>
      <w:r>
        <w:t>- 12/14 -</w:t>
      </w:r>
    </w:p>
    <w:p>
      <w:r>
        <w:t>C/11339/2018 séparation de bien, qui lui permettrait d'obtenir un nouveau montant de plus de 250'000 fr., serait ainsi inéquitable.</w:t>
      </w:r>
    </w:p>
    <w:p>
      <w:r>
        <w:rPr>
          <w:b/>
        </w:rPr>
        <w:t>E. 4</w:t>
      </w:r>
    </w:p>
    <w:p>
      <w:r>
        <w:t>L'appelante, qui succombe, sera condamnée aux frais judicaires (art. 106 al. 1 CPC), arrêtés à 1'200 fr. (art. 30 et 35 du règlement sur le tarif des frais en matière civile) et compensés avec l'avance fournie, qui reste acquise à l'Etat de Genève à due concurrence (art. 111 al. 1 CPC). Le solde sera restitué à l'appelante.</w:t>
      </w:r>
    </w:p>
    <w:p>
      <w:r>
        <w:t>Vu la nature familiale du litige, chaque partie supportera ses propres dépens (art. 107 al.1 let. c CPC). * * * * *</w:t>
      </w:r>
    </w:p>
    <w:p>
      <w:r>
        <w:t>- 13/14 -</w:t>
      </w:r>
    </w:p>
    <w:p>
      <w:r>
        <w:t>C/11339/2018 PAR CES MOTIFS, La Chambre civile : A la forme : Déclare recevable l'appel formé par A______ contre le jugement JTPI/3042/2020 rendu le 27 février 2020 par le Tribunal de première instance dans la cause C/11339/2018-8. Au fond : Annule le ch. 1 du dispositif de ce jugement et, statuant à nouveau : Déclare irrecevable la demande formée par A______ le 16 mai 2018 dans la cause C/11339/2018, subsidiairement, la rejette. Déboute les parties de toutes autres conclusions. Sur les frais : Arrête les frais judiciaires d'appel à 1'200 fr., les met à la charge de A______ et dit qu'ils sont compensés avec l'avance fournie, qui reste acquise à l'Etat de Genève à due concurrence. Invite les Services financiers du Pouvoir judiciaire à restituer 1'550 fr. à A______. Dit que chaque partie supporte ses propres dépens. Siégeant : Monsieur Laurent RIEBEN, président; Monsieur Patrick CHENAUX, Madame Fabienne GEISINGER-MARIETHOZ, juges; Madame Sophie MARTINEZ, greffière. Le président : Laurent RIEBEN</w:t>
      </w:r>
    </w:p>
    <w:p>
      <w:r>
        <w:t>La greffière : Sophie MARTINEZ</w:t>
      </w:r>
    </w:p>
    <w:p>
      <w:r>
        <w:t>- 14/14 -</w:t>
      </w:r>
    </w:p>
    <w:p>
      <w:r>
        <w:t>C/11339/2018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