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ACJC/17/2020 vom 10. Januar 2020</w:t>
      </w:r>
    </w:p>
    <w:p>
      <w:r>
        <w:t>GE Cour de justice, 2020-01-10, FR</w:t>
      </w:r>
    </w:p>
    <w:p>
      <w:r>
        <w:rPr>
          <w:b/>
        </w:rPr>
        <w:t xml:space="preserve">Quelle: </w:t>
      </w:r>
      <w:r>
        <w:t>https://mcp.opencaselaw.ch/entscheid/ge_gerichte_ACJC_17_2020</w:t>
      </w:r>
    </w:p>
    <w:p>
      <w:r>
        <w:t>FR: GE_GERICHTE ACJC/17/2020 du 10 janvier 2020</w:t>
      </w:r>
    </w:p>
    <w:p>
      <w:r>
        <w:t>IT: GE_GERICHTE ACJC/17/2020 del 10 gennaio 2020</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rPr>
          <w:b/>
        </w:rPr>
        <w:t>E. 1.2</w:t>
      </w:r>
    </w:p>
    <w:p>
      <w:r>
        <w:t>La présente cause est soumise aux maximes d'office et inquisitoire illimitée en tant qu'elle concerne l'entretien des enfants mineurs des parties (art. 296 al. 1 et al. 3 CPC).</w:t>
      </w:r>
    </w:p>
    <w:p>
      <w:r>
        <w:t>- 5/8 -</w:t>
      </w:r>
    </w:p>
    <w:p>
      <w:r>
        <w:t>C/14377/2018 1.3.1.1 Lorsqu'une partie forme un appel qui ne porte que sur une partie du dispositif du jugement de première instance, le jugement entre en force de chose jugée et devient définitivement exécutoire à raison de la partie non remise en cause du dispositif (art. 315 al. 1 et 336 al. 1 let. a CPC; JEANDIN, Commentaire romand, n. 3 ad art. 315 CPC). Les parties sont libres de décider si elles souhaitent recourir et dans quelle mesure, indépendamment du fait qu'elles puissent disposer ou non du droit litigieux. L'exercice d'une voie de droit suppose qu'une partie adresse en temps utile une requête recevable en la forme à l'autorité d'appel et ce même si la maxime d'office s'applique (ATF 137 III 617 consid. 4.5.3, JdT 2014 II 187). Selon l'art. 59 al. 1 et 2 let. e CPC, le Tribunal n'entre en matière que sur les demandes qui satisfont aux conditions de recevabilité de l'action, au nombre desquelles figurent le fait que le litige ne fait pas l'objet d'une décision entrée en force.</w:t>
      </w:r>
    </w:p>
    <w:p>
      <w:r>
        <w:t>1.3.1.2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4.2). 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 du Tribunal fédéral 4A_651/2012 du 7 février 2013 consid. 4.3; 5A_573/2017 du 19 octobre 2017 consid. 3.1).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L'appelant qui se limite à annexer à ses allégués son propre calcul, dans lequel il parvient à un autre résultat que le premier juge, ne démontre pas encore la fausseté de ce dernier. Il doit au contraire exposer, dans la motivation de l’appel, pourquoi et en quoi le résultat auquel est parvenu le premier juge, respectivement le calcul sur lequel il repose, est erroné, et non simplement que celui-ci diverge de son</w:t>
      </w:r>
    </w:p>
    <w:p>
      <w:r>
        <w:t>- 6/8 -</w:t>
      </w:r>
    </w:p>
    <w:p>
      <w:r>
        <w:t>C/14377/2018 propre mode de calcul (arrêt du Tribunal fédéral 4A_418/2017 du 8.1.2018 consid. 2.4). 1.3.2 En l'espèce, l'appelante conclut à ce que la Cour annule le ch. 10 du dispositif du jugement du 23 septembre 2019 et condamne l'intimé à lui verser 80'096 fr. 75 au titre d'arriérés de contributions d'entretien pour la période du 22 juillet 2017 au 22 mai 2019. Elle fait valoir que c'est à tort que le Tribunal a retenu que l'intimé avait contribué dans une certaine mesure à l'entretien de la famille et assumé certaines charges du couple. L'intimé n'avait versé que 4'000 fr. pour l'entretien de la famille depuis la séparation de sorte qu'il était tenu de verser des arriérés, qu'il incombait à la Cour de chiffrer. Ces conclusions se heurtent cependant à l'autorité de force de chose jugée. En effet, la contribution due pour l'entretien des enfants des parties a été fixée, selon le chiffre 5 du jugement du 23 septembre 2019 à un montant de 1'500 fr. par enfants dès le 24 décembre 2019 (trois mois dès le prononcé du jugement). Ce chiffre du dispositif n'a pas été frappé d'appel de sorte qu'il est devenu définitif et exécutoire à l'issue du délai d'appel. La contribution n'étant due que dès décembre 2019, aucun arriéré de contribution ne peut être réclamé pour la période du 22 juillet 2017 au 22 mai 2019. L'appelante n'explique d'ailleurs pas de quelle manière elle a calculé le montant de 80'096 fr. 75 qu'elle réclame au titre d'arriérés de contribution et elle ne précise pas à combien se monte la contribution en question. L'appelante n'a en particulier formulé aucune critique contre les considérants du Tribunal portant sur le calcul de la contribution d'entretien. Elle n'expose pas, chiffres à l'appui, quelle était la capacité contributive de l'intimé pour la période du 22 juillet 2017 au 22 mai 2019. Dans cette mesure, l'appel est en outre insuffisamment motivé. Compte tenu de ce qui précède, l'appel sera déclaré irrecevable tant en raison du fait qu'il se heurte à l'autorité de chose jugée qu'en raison du fait qu'il n'est pas motivé conformément aux exigences légales. En tout état de cause, il résulte du dossier que les allégations formulées dans l'acte d'appel selon lesquelles l'intimé n'a versé que 4'000 fr. depuis la séparation des parties en juillet 2017 sont erronées, puisque l'appelante a reconnu dans sa réplique que l'intimé avait versé 31'308 fr. sur le compte commun des parties, montant auquel s'ajoutait son salaire, en plus de 10'000 fr. par mois, jusqu'en novembre 2017.</w:t>
      </w:r>
    </w:p>
    <w:p>
      <w:r>
        <w:t>- 7/8 -</w:t>
      </w:r>
    </w:p>
    <w:p>
      <w:r>
        <w:t>C/14377/2018 Aucune pièce du dossier ne permet par ailleurs de retenir que ces montants, versés sur le compte commun des parties, auraient été utilisés dans le seul intérêt de l'intimé. Les prétendues dépenses de l'intimé en 56'000 fr., effectuées selon l'appelante depuis le compte commun des époux, ne sont en particulier pas documentées par pièces, étant précisé que les documents produits, lacunaires et peu clairs, ne permettent pas de déterminer à quelles fins et par qui ont été effectués les versements et débits apparaissant sur les différents comptes des époux. L'appelante ne rend pas non plus vraisemblable que l'intimé aurait eu les moyens de verser des montants supérieurs à ceux qu'il a versés pour la période du 22 juillet 2017 au 22 mai 2019. Ainsi, même si l'appel avait été déclaré recevable, il aurait été déclaré infondé.</w:t>
      </w:r>
    </w:p>
    <w:p>
      <w:r>
        <w:rPr>
          <w:b/>
        </w:rPr>
        <w:t>E. 2</w:t>
      </w:r>
    </w:p>
    <w:p>
      <w:r>
        <w:t>L'appelante, qui succombe, sera condamnée aux frais de l'appel (art. 106 al. 1 CPC).</w:t>
      </w:r>
    </w:p>
    <w:p>
      <w:r>
        <w:t>Les frais judiciaires seront fixés à 500 fr. (art 7 et 31 du RTFMC) et compensés avec l'avance en 800 fr. versée par l'appelante, acquise à l'Etat de Genève à due concurrence (art. 111 al. 1 CPC). Le solde sera restitué à l'appelante.</w:t>
      </w:r>
    </w:p>
    <w:p>
      <w:r>
        <w:t>Il ne sera pas alloué de dépens compte tenu de la nature familiale du litige (art. 107 al. 1 let. c CPC). * * * * *</w:t>
      </w:r>
    </w:p>
    <w:p>
      <w:r>
        <w:t>- 8/8 -</w:t>
      </w:r>
    </w:p>
    <w:p>
      <w:r>
        <w:t>C/14377/2018 PAR CES MOTIFS, La Chambre civile : Déclare irrecevable l'appel interjeté par A______ contre le jugement JTPI/13365/2019 rendu le 23 septembre 2019 par le Tribunal de première instance dans la cause C/14377/2018-8. Met à charge de A______ les frais judiciaires d'appel, arrêtés à 500 fr. et compensés avec l'avance versée par ses soins acquise à l'Etat de Genève à due concurrence. Invite les Services financiers du Pouvoir judiciaire à restituer à A______ le solde de l'avance de frais en 300 fr. Dit qu'il n'est pas alloué de dépens.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