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ACJC/1782/2012 vom 23. September 2010</w:t>
      </w:r>
    </w:p>
    <w:p>
      <w:r>
        <w:t>GE Cour de justice, 2010-09-23, FR</w:t>
      </w:r>
    </w:p>
    <w:p>
      <w:r>
        <w:rPr>
          <w:b/>
        </w:rPr>
        <w:t xml:space="preserve">Quelle: </w:t>
      </w:r>
      <w:r>
        <w:t>https://mcp.opencaselaw.ch/entscheid/ge_gerichte_ACJC_1782_2012</w:t>
      </w:r>
    </w:p>
    <w:p>
      <w:r>
        <w:t>FR: GE_GERICHTE ACJC/1782/2012 du 23 septembre 2010</w:t>
      </w:r>
    </w:p>
    <w:p>
      <w:r>
        <w:t>IT: GE_GERICHTE ACJC/1782/2012 del 23 settembre 2010</w:t>
      </w:r>
    </w:p>
    <w:p>
      <w:pPr>
        <w:pStyle w:val="Heading2"/>
      </w:pPr>
      <w:r>
        <w:t>Erwägungen</w:t>
      </w:r>
    </w:p>
    <w:p>
      <w:r>
        <w:rPr>
          <w:b/>
        </w:rPr>
        <w:t>E. 1</w:t>
      </w:r>
    </w:p>
    <w:p>
      <w:r>
        <w:t>La présente demande en révision ayant été introduite après le 1er janvier 2011, la cause est régie par le nouveau droit de procédure, soit les art. 328 ss CPC (art. 405 al. 2 CPC; TAPPY, Code de procédure civile commenté, BOHNET/HALDY/ JEANDIN/SCHWEIZER/TAPPY [éd.], 2011, no 37 ad art. 405 CPC).</w:t>
      </w:r>
    </w:p>
    <w:p>
      <w:r>
        <w:t>- 4/6 -</w:t>
      </w:r>
    </w:p>
    <w:p>
      <w:r>
        <w:t>C/3252/2009</w:t>
      </w:r>
    </w:p>
    <w:p>
      <w:r>
        <w:rPr>
          <w:b/>
        </w:rPr>
        <w:t>E. 2.1</w:t>
      </w:r>
    </w:p>
    <w:p>
      <w:r>
        <w:t>La demande en révision doit être déposée auprès du tribunal ayant statué en dernière instance (art. 328 al. 1 let. a CPC). Le législateur entend par là le tribunal qui a statué en dernier lieu sur la question topique, soit la décision qui bénéficie de l'autorité de la chose jugée sur le fond (SCHWEIZER, Code de procédure civile commenté, BOHNET/HALDY/JEANDIN/SCHWEIZER/TAPPY [éd.], 2011, no 12 ad art. 328 CPC).</w:t>
      </w:r>
    </w:p>
    <w:p>
      <w:r>
        <w:rPr>
          <w:b/>
        </w:rPr>
        <w:t>E. 2.2</w:t>
      </w:r>
    </w:p>
    <w:p>
      <w:r>
        <w:t>Le délai pour demander la révision est de nonante jours à compter de celui où le motif de révision est découvert; la demande est écrite et motivée (art. 329 al. 1 CPC).</w:t>
      </w:r>
    </w:p>
    <w:p>
      <w:r>
        <w:rPr>
          <w:b/>
        </w:rPr>
        <w:t>E. 2.3</w:t>
      </w:r>
    </w:p>
    <w:p>
      <w:r>
        <w:t>En l'espèce, l'arrêt de la Cour de céans du 15 avril 2011 bénéficie de l'autorité de chose jugée sur le fond, puisque le Tribunal fédéral, dans son arrêt du 21 juin 2011, n'est pas entré en matière sur le recours constitutionnel interjeté par la demanderesse. C'est donc à bon escient que la demande de révision au fond a été dirigée contre l'arrêt de la Cour. Cela étant, la demanderesse ne démontre pas avoir respecté le délai de nonante jours à compter de celui où le motif de révision aurait été découvert. A la lecture de ses écritures, rédigées en des termes difficilement compréhensibles, il apparaît que la demanderesse se plaint de ce qu'elle n'a pas été en mesure de présenter "les faits relatifs à son affaire", parce qu'un établissement bancaire aurait refusé de lui fournir les documents relatifs au contrat de construction. Les faits retenus dans l'arrêt de la Cour, rendu il y a plus d'une année et demie, seraient dès lors erronés. On ne discerne toutefois dans son exposé aucun élément nouveau en relation avec les faits de la cause, ni à quel date ce fait nouveau aurait été découvert. Partant, à défaut de respecter les exigences de l'art. 329 al. 1 CPC, la demande en révision doit être déclarée irrecevable. Pour le surplus, les écritures de la demanderesse des 5 octobre et 22 novembre 2012 sont également irrecevables, la Cour n'ayant pas ordonné de deuxième échange d'écritures (art. 225 CPC) et les écritures déposées par la demanderesse ne constituant pas une réplique, puisqu'elles ne se prononcent pas sur la réponse de la défenderesse. Elles ne contiennent en tout état de cause pas d'éléments pertinents pour l'issue du litige.</w:t>
      </w:r>
    </w:p>
    <w:p>
      <w:r>
        <w:rPr>
          <w:b/>
        </w:rPr>
        <w:t>E. 3</w:t>
      </w:r>
    </w:p>
    <w:p>
      <w:r>
        <w:t>A titre superfétatoire, la demande en révision formée par la demanderesse devrait quoi qu'il en soit être rejetée pour les motifs qui suivent.</w:t>
      </w:r>
    </w:p>
    <w:p>
      <w:r>
        <w:rPr>
          <w:b/>
        </w:rPr>
        <w:t>E. 3.1</w:t>
      </w:r>
    </w:p>
    <w:p>
      <w:r>
        <w:t>Une partie peut demander la révision de la décision entrée en force au tribunal qui a statué en dernière instance, notamment lorsqu'elle découvre après coup des faits pertinents ou des moyens de preuve concluants qu'elle n'avait pu invoquer</w:t>
      </w:r>
    </w:p>
    <w:p>
      <w:r>
        <w:t>- 5/6 -</w:t>
      </w:r>
    </w:p>
    <w:p>
      <w:r>
        <w:t>C/3252/2009 dans la procédure précédente, à l'exclusion de faits et moyens de preuve postérieurs à la décision (art. 328 al. 1 let. a CPC). La révision ne peut être demandée que pour des noviter reperta, soit des faits ou des preuves préexistants révélés a posteriori, et non pas pour des faits ou des preuves nés après coup. Entrent donc en ligne de compte, pour que la révision soit ordonnée, les faits et les preuves qui démontrent à eux seuls, ou mis en parallèle avec d'autres éléments du dossier, l'inexactitude ou le caractère incomplet de la base factuelle du jugement entrepris, sans qu'il y ait lieu de décider, dans la phase du rescindant, si le jugement doit être modifié, mais uniquement si les éléments nouveaux justifient une réouverture de l'instance pour nouvelle décision sur l'état de fait complété. Le point central de la révision est l'ignorance, du côté de la partie non fautive potentiellement lésée, d'un élément qui aurait été susceptible d'influer sur l'issue de la cause (SCHWEIZER, op. cit., nos 5, 17, 21 et 28 ad art. 328 CPC).</w:t>
      </w:r>
    </w:p>
    <w:p>
      <w:r>
        <w:rPr>
          <w:b/>
        </w:rPr>
        <w:t>E. 3.2</w:t>
      </w:r>
    </w:p>
    <w:p>
      <w:r>
        <w:t>En l'espèce, ni les écritures présentées par la demanderesse, ni les pièces déposées à l'appui de sa demande, ne permettent de discerner l'existence d'un fait ou moyen de preuve découvert postérieurement au prononcé de l'arrêt en cause, qui, s'il avait été connu à l'époque, aurait eu une incidence sur le contenu de celui- ci. Partant, aucun motif de révision ne justifie la réouverture de l'instance pour nouvelle décision sur un état de fait complété et la demanderesse devrait être déboutée de ses conclusions.</w:t>
      </w:r>
    </w:p>
    <w:p>
      <w:r>
        <w:rPr>
          <w:b/>
        </w:rPr>
        <w:t>E. 4</w:t>
      </w:r>
    </w:p>
    <w:p>
      <w:r>
        <w:t>Les frais judiciaires de la procédure de révision, mis à la charge de la demanderesse qui succombe intégralement, sont fixés à 1'000 fr., dans la mesure où la présente procédure n'a pas nécessité d'actes d'instruction particuliers (art. 43 du Règlement fixant le tarif des frais en matière civile, RTFMC - E 1 05.10). Vu que la demanderesse a été mise au bénéfice de l'assistance judiciaire, ces frais restent provisoirement à la charge de l'Etat. La demanderesse sera également condamnée aux dépens de sa partie adverse, fixés à 1'800 fr., débours et TVA compris (art. 95, 104 al. 1, 105 et 106 al. 1 CPC; art. 85 al. 1 et 90 RTFMC; art. 20 et 21 LaCC). * * * * *</w:t>
      </w:r>
    </w:p>
    <w:p>
      <w:r>
        <w:t>- 6/6 -</w:t>
      </w:r>
    </w:p>
    <w:p>
      <w:r>
        <w:t>C/3252/2009 PAR CES MOTIFS, La Chambre civile : Déclare irrecevable la demande de révision de l'arrêt de la Cour de justice du 15 avril 2011 (ACJC/534/2011) formée par A______ dans la cause C/3252/2009-1. Sur les frais : Arrête les frais judiciaires à 1'000 fr. et les met à la charge d'A______. Les laisse provisoirement à la charge de l'Etat. Condamne A______ à verser à B______ SA 1'800 fr. à titre de dépens. Siégeant : Monsieur Jean RUFFIEUX, président; Madame Ariane WEYENETH, Madame Elena SAMPEDRO, juges; Madame Nathalie DESCHAMPS, greffière.</w:t>
      </w:r>
    </w:p>
    <w:p>
      <w:r>
        <w:t>Le président : Jean RUFFIEUX</w:t>
      </w:r>
    </w:p>
    <w:p>
      <w:r>
        <w:t>La greffière : Nathalie DESCHAMPS</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