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ACJC/1778/2019 vom 2. Dezember 2019</w:t>
      </w:r>
    </w:p>
    <w:p>
      <w:r>
        <w:t>GE Cour de justice, 2019-12-02, FR</w:t>
      </w:r>
    </w:p>
    <w:p>
      <w:r>
        <w:rPr>
          <w:b/>
        </w:rPr>
        <w:t xml:space="preserve">Quelle: </w:t>
      </w:r>
      <w:r>
        <w:t>https://mcp.opencaselaw.ch/entscheid/ge_gerichte_ACJC_1778_2019</w:t>
      </w:r>
    </w:p>
    <w:p>
      <w:r>
        <w:t>FR: GE_GERICHTE ACJC/1778/2019 du 2 décembre 2019</w:t>
      </w:r>
    </w:p>
    <w:p>
      <w:r>
        <w:t>IT: GE_GERICHTE ACJC/1778/2019 del 2 dicembre 2019</w:t>
      </w:r>
    </w:p>
    <w:p>
      <w:pPr>
        <w:pStyle w:val="Heading2"/>
      </w:pPr>
      <w:r>
        <w:t>Erwägungen</w:t>
      </w:r>
    </w:p>
    <w:p>
      <w:r>
        <w:rPr>
          <w:b/>
        </w:rPr>
        <w:t>E. 1.1</w:t>
      </w:r>
    </w:p>
    <w:p>
      <w:r>
        <w:t>Le jugement entrepris étant une décision sur opposition à séquestre, seule la voie du recours est ouverte (art. 278 al. 3 LP; art. 309 let. b ch. 6 et art. 319 let. a CPC).</w:t>
      </w:r>
    </w:p>
    <w:p>
      <w:r>
        <w:t>Déposé dans le délai de dix jours (art. 278 al. 1 LP, art. 321 al. 2 CPC) et selon la forme prescrits par la loi (art. 130, 131, 142 al. 1 et 321 al. 1 CPC), le recours est</w:t>
      </w:r>
    </w:p>
    <w:p>
      <w:r>
        <w:t>- 6/15 -</w:t>
      </w:r>
    </w:p>
    <w:p>
      <w:r>
        <w:t>C/12730/2018 recevable. Il en va de même des échanges subséquents des parties, tous déposés dans le cadre de l'exercice de leur droit de répliquer. La recevabilité des faits nouveaux sera traitée ci-après.</w:t>
      </w:r>
    </w:p>
    <w:p>
      <w:r>
        <w:rPr>
          <w:b/>
        </w:rPr>
        <w:t>E. 1.2</w:t>
      </w:r>
    </w:p>
    <w:p>
      <w:r>
        <w:t>La procédure sommaire est applicable (art. 251 let. a CPC).</w:t>
      </w:r>
    </w:p>
    <w:p>
      <w:r>
        <w:rPr>
          <w:b/>
        </w:rPr>
        <w:t>E. 1.3</w:t>
      </w:r>
    </w:p>
    <w:p>
      <w:r>
        <w:t>La cognition de la Cour est limitée à la violation du droit et à la constatation manifestement inexacte des faits (art. 320 CPC).</w:t>
      </w:r>
    </w:p>
    <w:p>
      <w:r>
        <w:rPr>
          <w:b/>
        </w:rPr>
        <w:t>E. 1.4.1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w:t>
      </w:r>
    </w:p>
    <w:p>
      <w:r>
        <w:t>L'invocation devant l'autorité de recours de pseudo nova n'est toutefois admissible que pour autant que les conditions de l'art. 317 al. 1 CPC, applicable par analogie, soient réalisées (arrêt du Tribunal 5A_626/2018 du 3 avril 2019 consid. 6.6.2). La partie qui entend se prévaloir de pseudo nova doit ainsi démontrer n'avoir pas pu le faire avant la procédure de recours bien qu'elle ait fait preuve de la diligence requise (cf. ATF 144 III 349 consid. 4.2.1).</w:t>
      </w:r>
    </w:p>
    <w:p>
      <w:r>
        <w:rPr>
          <w:b/>
        </w:rPr>
        <w:t>E. 1.4.2</w:t>
      </w:r>
    </w:p>
    <w:p>
      <w:r>
        <w:t>En l'occurrence, parmi les pièces nouvelles et les faits qui s'y rapportent produits par le recourant à l'appui de son recours, seule est recevable l'offre d'acquisition effectuée le 22 mars 2019. Les autres pièces, qui portent sur la dénonciation, par la banque, du prêt hypothécaire ayant permis de financer l'acquisition du bien immobilier et la poursuite en réalisation du gage, sont antérieures à la date à laquelle la cause a été gardée à juger en première instance. Le recourant soutient qu'il n'avait aucune raison de les produire en première instance, mais que ces éléments ont acquis une pertinence nouvelle en deuxième instance en lien avec l'offre d'acquisition de H______ SA susmentionnée. Cette argumentation tombe à faux, dans la mesure où le fait que la banque ait dénoncé le prêt hypothécaire existait déjà en première instance, avec le risque de vente forcée aux enchères publiques du bien immobilier que cette dénonciation implique. Par conséquent, le prétendu dommage résultant d'une vente forcée - à savoir, selon le recourant, une perte financière - était déjà prévisible en première instance, comme il l'est de la même façon en deuxième instance, l'offre de rachat intervenue entre temps n'y changeant rien. Ainsi, le recourant, qui demandait déjà des sûretés en première instance, se devait d'envisager tous les faits pertinents, y compris le risque de vente forcée qui existait déjà à cette</w:t>
      </w:r>
    </w:p>
    <w:p>
      <w:r>
        <w:t>- 7/15 -</w:t>
      </w:r>
    </w:p>
    <w:p>
      <w:r>
        <w:t>C/12730/2018 époque, sans attendre une hypothétique offre de rachat concrète. C'est pourquoi les pièces liées à la dénonciation du crédit hypothécaire sont irrecevables, ainsi que les allégués de faits qui s'y rapportent.</w:t>
      </w:r>
    </w:p>
    <w:p>
      <w:r>
        <w:t>Pour le surplus, s'agissant des pièces nouvelles produites par l'intimée à l'appui de ses répliques, soit une écriture de recours au Tribunal fédéral et l'arrêt du Tribunal fédéral, antérieurs à la date à laquelle la cause a été gardée à juger en première instance, elles sont désormais dénuées de pertinence puisque la Cour est en possession de l'arrêt du Tribunal fédéral rendu le 2 juillet 2019, qui est donc recevable.</w:t>
      </w:r>
    </w:p>
    <w:p>
      <w:r>
        <w:t>Enfin, s'agissant des pièces produites par le recourant à l'appui de l'une de ses répliques, soit une promesse de renonciation à un usufruit daté de 2011, ainsi que diverses pièces datées de juillet 2019 et postérieurement, elles seront déclarées recevables, à l'exception de la promesse de renonciation, qui aurait pu être produite antérieurement, étant précisé que le recourant avait fait état de l'existence de cette pièce dans son appel et qu'il ne l'a pas produite à cette occasion alors qu'il aurait pu le faire.</w:t>
      </w:r>
    </w:p>
    <w:p>
      <w:r>
        <w:rPr>
          <w:b/>
        </w:rPr>
        <w:t>E. 2</w:t>
      </w:r>
    </w:p>
    <w:p>
      <w:r>
        <w:t>Par un premier grief, le recourant remet en cause l'existence des créances invoquées par l'intimée à l'appui de sa demande de séquestre et reproche au Tribunal d'avoir retenu qu'elles avaient été rendues vraisemblables.</w:t>
      </w:r>
    </w:p>
    <w:p>
      <w:r>
        <w:rPr>
          <w:b/>
        </w:rPr>
        <w:t>E. 2.1.1</w:t>
      </w:r>
    </w:p>
    <w:p>
      <w:r>
        <w:t>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ou qu'elle se fonde sur une reconnaissance de dette au sens de l'art. 82 al. 1 LP. Ces deux dernières conditions sont alternatives (ATF 135 III 608 consid. 4.3; arrêt du Tribunal fédéral 5A_832/2015 du 19 février 2016 consid. 3.1).</w:t>
      </w:r>
    </w:p>
    <w:p>
      <w:r>
        <w:t>Le séquestre est autorisé à condition que le créancier rende vraisemblable que sa créance existe, qu'on est en présence d'un cas de séquestre et qu'il existe des biens appartenant au débiteur (art. 272 al. 1 ch. 1 à 3 LP).</w:t>
      </w:r>
    </w:p>
    <w:p>
      <w:r>
        <w:t>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t>- 8/15 -</w:t>
      </w:r>
    </w:p>
    <w:p>
      <w:r>
        <w:t>C/12730/2018</w:t>
      </w:r>
    </w:p>
    <w:p>
      <w:r>
        <w:rPr>
          <w:b/>
        </w:rPr>
        <w:t>E. 2.1.2</w:t>
      </w:r>
    </w:p>
    <w:p>
      <w:r>
        <w:t>Le créancier d'une dette échue et non garantie par gage peut requérir le séquestre des biens du débiteur qui se trouvent en Suisse lorsqu'il possède contre le débiteur un titre de mainlevée définitive (art. 271 al. 1 ch. 6 LP).</w:t>
      </w:r>
    </w:p>
    <w:p>
      <w:r>
        <w:rPr>
          <w:b/>
        </w:rPr>
        <w:t>E. 2.1.3</w:t>
      </w:r>
    </w:p>
    <w:p>
      <w:r>
        <w:t>L'appel formé contre une décision de mesures protectrices n'a pas d'effet suspensif ex lege (art. 315 al. 4 let. b CPC; ATF 137 III 475 consid. 4.1).</w:t>
      </w:r>
    </w:p>
    <w:p>
      <w:r>
        <w:t>Selon l'art. 103 al. 1 LTF, le recours au Tribunal fédéral n'a, en règle générale, pas d'effet suspensif.</w:t>
      </w:r>
    </w:p>
    <w:p>
      <w:r>
        <w:t>Selon la jurisprudence, lorsque l'effet suspensif est octroyé, il déploie ses effets ex tunc, ce qui veut dire qu'il rétroagit à la date de la décision attaquée (ATF 127 III 569 consid. 4b).</w:t>
      </w:r>
    </w:p>
    <w:p>
      <w:r>
        <w:rPr>
          <w:b/>
        </w:rPr>
        <w:t>E. 2.1.4</w:t>
      </w:r>
    </w:p>
    <w:p>
      <w:r>
        <w:t>Dans le cadre des mesures protectrices de l'union conjugale, même lorsqu'on ne peut plus sérieusement compter sur la reprise de la vie commune, l'art. 163 CC demeure la cause de l'obligation d'entretien réciproque des époux (ATF 137 III 385 consid. 3.1). Dans ce cadre, le Tribunal fédéral a retenu que, lorsqu'il ressort du dossier de la cause et des allégations de l'époux que celui-ci a toujours subvenu aux besoins de son épouse, laquelle n'a pas exercé d'activité lucrative durant la vie commune, il n'est pas manifeste que le versement d'une contribution d'entretien en faveur de l'épouse soit indu (arrêt du Tribunal fédéral 5D_114/2013 du 10 juin 2013 consid. 1.2.2).</w:t>
      </w:r>
    </w:p>
    <w:p>
      <w:r>
        <w:rPr>
          <w:b/>
        </w:rPr>
        <w:t>E. 2.2</w:t>
      </w:r>
    </w:p>
    <w:p>
      <w:r>
        <w:t>En l'espèce, la particularité de cause repose sur le fait que la créance qu'invoque l'intimée reposait sur un titre exécutoire lors du dépôt de la requête en séquestre - à cette époque la décision sur mesures protectrices avait été rendue, mais ne faisait pas l'objet d'un appel, lequel était, de toute manière, dénué d'effet suspensif -, puis que, lors de la procédure d'opposition, le titre n'était plus exécutoire en raison de l'effet suspensif octroyé par le Tribunal fédéral et, enfin, que dans le cadre du présent recours, et en raison de faits nouveaux recevables - à savoir le prononcé du Tribunal fédéral du 2 juillet 2019 - le titre, soit le jugement sur mesures protectrices, est désormais définitivement exécutoire.</w:t>
      </w:r>
    </w:p>
    <w:p>
      <w:r>
        <w:t>Il n'apparaît cependant pas nécessaire de trancher ici, si, sous l'angle de l'art. 271 al. 1 ch. 6 LP, le séquestre doit, tout au long de la procédure de séquestre, puis d'opposition à séquestre, y compris le recours, reposer sur un titre exécutoire ou si ce titre peut, durant une certaine période, n'être plus exécutoire, pour peu qu'il le soit au moment où cette procédure se termine en deuxième instance.</w:t>
      </w:r>
    </w:p>
    <w:p>
      <w:r>
        <w:t>En effet, l'on se trouve en l'espèce en présence d'un débiteur domicilié à l'étranger, dont la dette est rendue pour le moins vraisemblable au vu de la décision récente du Tribunal fédéral et qui l'était tout au long de la procédure compte tenu des décisions cantonales fondées et détaillées qui justifiaient la prétention de l'intimée d'obtenir le paiement de son entretien, laquelle découlait de la loi et ne dépendait</w:t>
      </w:r>
    </w:p>
    <w:p>
      <w:r>
        <w:t>- 9/15 -</w:t>
      </w:r>
    </w:p>
    <w:p>
      <w:r>
        <w:t>C/12730/2018 pas d'une décision judiciaire. La créance dispose manifestement d'un lien suffisant avec la Suisse puisqu'elle concerne l'entretien d'une personne domiciliée à Genève.</w:t>
      </w:r>
    </w:p>
    <w:p>
      <w:r>
        <w:t>Il s'ensuit que les conditions du séquestre au sens de l'art. 271 al. 1 ch. 4 LP sont réalisées sous cet angle.</w:t>
      </w:r>
    </w:p>
    <w:p>
      <w:r>
        <w:rPr>
          <w:b/>
        </w:rPr>
        <w:t>E. 3</w:t>
      </w:r>
    </w:p>
    <w:p>
      <w:r>
        <w:t>Le recourant reproche ensuite au Tribunal d'avoir retenu que le bien immobilier séquestré lui appartenait.</w:t>
      </w:r>
    </w:p>
    <w:p>
      <w:r>
        <w:rPr>
          <w:b/>
        </w:rPr>
        <w:t>E. 3.1.1</w:t>
      </w:r>
    </w:p>
    <w:p>
      <w:r>
        <w:t>A teneur de l'art. 272 al. 1 ch. 3 LP, le séquestre est autorisé par le juge du for de la poursuite ou par le juge du lieu où se trouvent les biens, à condition que le créancier rende vraisemblable qu'il existe des biens appartenant au débiteur.</w:t>
      </w:r>
    </w:p>
    <w:p>
      <w:r>
        <w:rPr>
          <w:b/>
        </w:rPr>
        <w:t>E. 3.1.2</w:t>
      </w:r>
    </w:p>
    <w:p>
      <w:r>
        <w:t>Lorsqu'une personne fonde une personne morale, notamment une société anonyme, il faut en principe considérer qu'il y a deux sujets de droit distincts avec des patrimoines séparés: la personne physique d'une part et la société anonyme d'autre part (arrêt du Tribunal fédéral 4C.15/ 2004 du 12 mai 2004 consid. 5.2).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ATF 97 II 289 consid. 3; arrêts du Tribunal fédéral 4C.15/2004 précité consid. 5.2; 5C.209/2001 du 12 février 2002 consid. 3a).</w:t>
      </w:r>
    </w:p>
    <w:p>
      <w:r>
        <w:t>Toutefois, dans des circonstances particulières, un tiers peut être tenu des engagements d'un débiteur avec lequel il forme une identité économique (arrêts du Tribunal fédéral 5A_876/2015 consid. 4.2; 5A_654/2010 consid. 7.3.1; 5A_871/2009 consid. 7.1). En effet, 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w:t>
      </w:r>
    </w:p>
    <w:p>
      <w:r>
        <w:t>- 10/15 -</w:t>
      </w:r>
    </w:p>
    <w:p>
      <w:r>
        <w:t>C/12730/2018 violant un contrat ou en portant une atteinte illicite aux intérêts d'un tiers (art. 2 al. 2 CC; sur le principe de la transparence en général: cf. ATF 144 III 541 consid. 8.3.1 et les références citées).</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(ATF 132 III 489 consid. 3.2).</w:t>
      </w:r>
    </w:p>
    <w:p>
      <w:r>
        <w:t>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(arrêts du Tribunal fédéral 5A_330/2012 du 17 juillet 2012 consid. 3.2; 5A_498/2007 du 28 février 2008 consid. 2.2; 5A_587/2007 du 28 février 2008 consid. 2.2, in Pra 2008 n. 108 p. 691; 5C.279/2002 du 14 mars 2003 consid. 4.2.1, in Pra 2003 n. 164 p. 894).</w:t>
      </w:r>
    </w:p>
    <w:p>
      <w:r>
        <w:t>S'agissant de l'abus de droit, il n'y a pas de définition spécifique au Durchgriff.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(ATF 132 III 489 consid. 3.2; arrêt du Tribunal fédéral 5C.201/2001 du 20 décembre 2001 consid. 2c). On exige également une accumulation de comportements différents et extraordinaires en ce sens qu'il en résulte une machination et atteinte qualifiée d'un tiers (arrêt du Tribunall fédéral 5A_587/2007 précité consid. 2.2).</w:t>
      </w:r>
    </w:p>
    <w:p>
      <w:r>
        <w:t>Pour le reste,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Le cas le plus fréquemment réalisé est celui où le débiteur transfère de manière abusive ses biens à une société qu'il contrôle et avec qui il forme une unité économique afin de soustraire un patrimoine à la mainmise de créanciers (ATF 126 III 95 consid. 4a; arrêt du Tribunal fédéral 5A_205/2016 du 7 juin 2016</w:t>
      </w:r>
    </w:p>
    <w:p>
      <w:r>
        <w:t>- 11/15 -</w:t>
      </w:r>
    </w:p>
    <w:p>
      <w:r>
        <w:t>C/12730/2018 consid. 7.2 et les autres références). De tels indices ne peuvent toutefois pas, à eux seuls, conduire à retenir que le voile social doit être levé, même en cas d'identité économique. Il faut en plus que, dans le cas concret, il en résulte un abus de droit. En particulier, l'incapacité pour une personne morale de payer ses dettes ne suffit pas à elle seule pour appliquer le principe de la transparence, même à l'égard d'un actionnaire et administrateur unique (ATF 144 III 541 consid. 8.3.3).</w:t>
      </w:r>
    </w:p>
    <w:p>
      <w:r>
        <w:rPr>
          <w:b/>
        </w:rPr>
        <w:t>E. 3.2</w:t>
      </w:r>
    </w:p>
    <w:p>
      <w:r>
        <w:t>En l'espèce, il ressort de l'argumentation détaillée de l'intimée, tout comme des décisions judiciaires antérieures auxquelles elle se réfère, que le bien immobilier objet du séquestre doit servir à désintéresser les créanciers du recourant dans la mesure où celui-ci en est le propriétaire économique et qu'il invoque abusivement la dualité économique entre les personnes morales qu'il contrôle et sa propre personne pour soustraire ce bien à la poursuite.</w:t>
      </w:r>
    </w:p>
    <w:p>
      <w:r>
        <w:t>Les faits ressortant du dossier confirment cette approche. En effet, l'on constate que le recourant a acquis en son nom propre une villa destinée à héberger sa famille d'une valeur de plusieurs millions, qu'il a ensuite remise à une personne morale, D______ SA, dont le capital social est limité à 100'000 fr. et qui n'a, vraisemblablement, aucune espèce d'activité commerciale concrète qui justifierait qu'elle devienne propriétaire d'un bien immobilier de cette valeur, ni qui permettrait d'expliquer comment elle a pu en obtenir le financement. D'ailleurs, D______ SA a été fondée simultanément au transfert de propriété du bien immobilier, ce qui laisse à penser qu'elle a été créée dans ce seul but. De surcroît, cette personne morale est détenue à 90% par une autre personne morale, dont le recourant doit être considéré comme actionnaire unique, soit E______ SA, - point sur lequel il sera revenu ci-dessous - et dont il était jusqu'à récemment l'administrateur. Le solde de 10% est détenu par une société parisienne dont on ignore tout et dont il n'est pas exclu qu'elle soit, elle aussi, contrôlée par le recourant au vu de l'ensemble de la logique économique des différentes structures présentes. D'ailleurs, la part négligeable détenue par cette société tierce, soit 10%, ne remet pas en cause l'hégémonie exercée indirectement par le recourant sur le bien immobilier concerné.</w:t>
      </w:r>
    </w:p>
    <w:p>
      <w:r>
        <w:t>S'agissant de l'actionnariat de E______ SA, le recourant fait grand cas du fait qu'il en aurait cédé, dans un premier temps, la propriété à ses filles, tout en en conservant l'usufruit, puis qu'il aurait renoncé à cet usufruit et que ses filles en seraient désormais, au vu de leur accession à la majorité, propriétaires de plein droit. Selon ses écritures, le recourant aurait donc perdu tout contrôle sur la société E______ SA. Comme le souligne l'intimée, la logique économique d'une telle démarche est difficilement compréhensible. Il n'est pas convaincant de soutenir que le recourant entendait favoriser ses filles en leur donnant le contrôle de la personne morale, qui détient la personne morale, qui détient la maison dans laquelle réside leur mère. En particulier, le recourant n'expose pas quel intérêt financier, autre que la possession indirecte de la villa, pourrait découler de la prise</w:t>
      </w:r>
    </w:p>
    <w:p>
      <w:r>
        <w:t>- 12/15 -</w:t>
      </w:r>
    </w:p>
    <w:p>
      <w:r>
        <w:t>C/12730/2018 de contrôle des sociétés par ses filles. Outre le fait que ce procédé tend à reporter sur deux personnes à peine majeures, encore étudiantes et vraisemblablement non autonomes financièrement, la charge fiscale afférente à la donation dont elles ont bénéficié, l'on ne discerne pas de quelle façon elles pourraient en tirer un bénéfice. En effet, elles se trouvent placées devant le choix cornélien de faire évacuer leur mère pour pouvoir pleinement jouir de la villa en la mettant par exemple en location, ou bien de la laisser y demeurer gratuitement, à leur charge et avec toutes les obligations que cela implique, puisqu'aucun contrat de bail, ni obligation de droit de la famille, ne les oblige à tolérer que leur mère continue de résider dans ladite villa. Un tel procédé révèle plutôt une attitude du recourant peu compatible avec un exercice de ses droits conforme au principe de la bonne foi et apparaît comme étant abusif.</w:t>
      </w:r>
    </w:p>
    <w:p>
      <w:r>
        <w:t>D'ailleurs, au vu de l'ascendant moral vraisemblable d'un père sur ses deux filles devenues récemment majeures, il peut être retenu que l'on se trouve dans un cas où les proches du débiteur sont utilisés pour détenir un bien appartenant économiquement à celui-ci et exercer leurs droits selon ses instructions.</w:t>
      </w:r>
    </w:p>
    <w:p>
      <w:r>
        <w:t>Il s'ensuit que le recourant, qui a investi ses deniers personnels pour acquérir la villa a, selon sa description des faits, remis celle-ci à une société tierce, créée pour l'occasion, dont il est administrateur et indirectement actionnaire majoritaire, voire unique, par l'entremise de ses filles. Ce procédé abusif ne permet pas de se prévaloir de la dualité entre deux sujets de droit et justifie, à l'instar de la décision entreprise, l'application du Durchgriff.</w:t>
      </w:r>
    </w:p>
    <w:p>
      <w:r>
        <w:t>Enfin, les griefs relatifs au procès-verbal de séquestre n'ont pas leur place dans la procédure d'opposition.</w:t>
      </w:r>
    </w:p>
    <w:p>
      <w:r>
        <w:t>La décision entreprise sera donc confirmée sur ce point également.</w:t>
      </w:r>
    </w:p>
    <w:p>
      <w:r>
        <w:rPr>
          <w:b/>
        </w:rPr>
        <w:t>E. 4</w:t>
      </w:r>
    </w:p>
    <w:p>
      <w:r>
        <w:t>Le recourant estime que le séquestre est illicite, car il contreviendrait à la Loi fédérale sur l'acquisition d'immeubles par des personnes à l'étranger (LFAIE).</w:t>
      </w:r>
    </w:p>
    <w:p>
      <w:r>
        <w:t>La LFAIE est une norme de droit administratif, dont l'exécution dans le canton de Genève est confiée aux autorités administratives, soit, en première instance, le Conseil d'Etat, tâche déléguée au Département de la sécurité, de l'emploi et de la santé (DSES; art. 8 de la loi cantonale d'application de la loi fédérale sur l'acquisition d'immeubles par des personnes à l'étranger; LaLFAIE) et, en deuxième instance, à la chambre administrative de la Cour de justice (art. 10 LaLFAIE).</w:t>
      </w:r>
    </w:p>
    <w:p>
      <w:r>
        <w:t>Outre le fait que le séquestre, qui n'a pas vocation à modifier la situation de propriété du bien immobilier visé, bien au contraire, n'est pas de nature à générer une infraction à la LFAIE, la Cour de céans n'est pas compétente pour connaître des litiges en lien avec ladite loi.</w:t>
      </w:r>
    </w:p>
    <w:p>
      <w:r>
        <w:t>- 13/15 -</w:t>
      </w:r>
    </w:p>
    <w:p>
      <w:r>
        <w:t>C/12730/2018</w:t>
      </w:r>
    </w:p>
    <w:p>
      <w:r>
        <w:t>Le grief du recourant sera donc rejeté, dans la mesure de sa recevabilité.</w:t>
      </w:r>
    </w:p>
    <w:p>
      <w:r>
        <w:rPr>
          <w:b/>
        </w:rPr>
        <w:t>E. 5</w:t>
      </w:r>
    </w:p>
    <w:p>
      <w:r>
        <w:t>Enfin, le recourant reproche au Tribunal de ne pas avoir ordonné le versement de sûretés.</w:t>
      </w:r>
    </w:p>
    <w:p>
      <w:r>
        <w:rPr>
          <w:b/>
        </w:rPr>
        <w:t>E. 5.1</w:t>
      </w:r>
    </w:p>
    <w:p>
      <w:r>
        <w:t>En vertu de l'art. 273 al. 1 LP, le créancier répond du dommage qu'un séquestre injustifié peut causer tant au débiteur qu'aux tiers; le juge peut l'astreindre à fournir des sûretés.</w:t>
      </w:r>
    </w:p>
    <w:p>
      <w:r>
        <w:t>Le droit fédéral règle les conditions et le contenu des sûretés prévues par l'art. 273 al. 1 LP. Le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du 10 mai 2010 consid. 1.2, in: Praxis 2011 p. 142).</w:t>
      </w:r>
    </w:p>
    <w:p>
      <w:r>
        <w:t>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nombreuses citations, in: Praxis 2011 p. 145; 5A_757/2010 du 20 avril 2011 consid. 2).</w:t>
      </w:r>
    </w:p>
    <w:p>
      <w:r>
        <w:t>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w:t>
      </w:r>
    </w:p>
    <w:p>
      <w:r>
        <w:rPr>
          <w:b/>
        </w:rPr>
        <w:t>E. 5.2</w:t>
      </w:r>
    </w:p>
    <w:p>
      <w:r>
        <w:t>En l'espèce, le recourant invoque l'offre d'acquisition faite par H______ SA de racheter les actions de D______ SA détenues par E______ SA. Cette prétendue offre d'acquisition est en réalité un projet, signé uniquement par H______ SA. Celle-ci propose de racheter les actions susmentionnées pour le prix de 1 fr., tout en reprenant l'intégralité des dettes de D______ SA évaluées à près de 20'000'000 fr.</w:t>
      </w:r>
    </w:p>
    <w:p>
      <w:r>
        <w:t>- 14/15 -</w:t>
      </w:r>
    </w:p>
    <w:p>
      <w:r>
        <w:t>C/12730/2018</w:t>
      </w:r>
    </w:p>
    <w:p>
      <w:r>
        <w:t>Ici encore, la présentation des faits proposée par le recourant ne convainc pas, dans la mesure où l'on ne discerne pas, sur le plan économique, l'intérêt de réaliser une telle opération s'agissant d'une société détenant une villa d'une valeur de plus de 20'000'000 fr. en 2012 et dont la valeur a vraisemblablement encore augmenté depuis lors. En outre, la villa fait l'objet d'une interdiction de vendre émanant des juridictions de droit de la famille, de sorte que l'existence du séquestre ne change en l'état rien à la situation du propriétaire de ce bien immobilier, qui ne peut, quoiqu'il en soit, en disposer librement.</w:t>
      </w:r>
    </w:p>
    <w:p>
      <w:r>
        <w:t>Il s'ensuit que le recourant ne rend nullement vraisemblable l'existence d'un dommage menaçant son patrimoine. Non seulement il invoque les droits d'une société tierce - lui-même ne pouvant bénéficier du Durchgriff en sa faveur (voir l'ATF 109 Ib 110 consid. 3) -, mais surtout il ne démontre pas, même au stade de la vraisemblance, que le séquestre de l'immeuble sur lequel réside l'intimée serait de nature à lui causer concrètement un dommage.</w:t>
      </w:r>
    </w:p>
    <w:p>
      <w:r>
        <w:t>Les frais de défense qu'invoque le recourant ne sont pas rendus vraisemblables, au-delà de ceux occasionnés par la présente procédure et taxés ci-dessous.</w:t>
      </w:r>
    </w:p>
    <w:p>
      <w:r>
        <w:t>La décision du Tribunal de ne pas ordonner le versement de sûretés sera ainsi confirmée.</w:t>
      </w:r>
    </w:p>
    <w:p>
      <w:r>
        <w:rPr>
          <w:b/>
        </w:rPr>
        <w:t>E. 6</w:t>
      </w:r>
    </w:p>
    <w:p>
      <w:r>
        <w:t>Le recourant, qui succombe, sera condamné aux frais du recours (art. 106 al. 1 CPC).</w:t>
      </w:r>
    </w:p>
    <w:p>
      <w:r>
        <w:t>Les frais judiciaires seront arrêtés à 1'500 fr. (art. 48 et 61 al. 1 OELP) et compensés avec l'avance versée par le recourant, laquelle reste acquise à l'Etat de Genève (art. 111 al. 1 CPC).</w:t>
      </w:r>
    </w:p>
    <w:p>
      <w:r>
        <w:t>Le recourant sera en outre condamné à verser 2'000 fr. à l'intimée à titre de dépens, débours et TVA compris (art. 25 et 26 LaCC; art. 85, 89 et 90 RTFMC). * * * * *</w:t>
      </w:r>
    </w:p>
    <w:p>
      <w:r>
        <w:t>- 15/15 -</w:t>
      </w:r>
    </w:p>
    <w:p>
      <w:r>
        <w:t>C/12730/2018 PAR CES MOTIFS, La Chambre civile : A la forme : Déclare recevable le recours interjeté le 3 mai 2019 par A______ contre le jugement OSQ/12/2019 rendu le 18 avril 2019 par le Tribunal de première instance dans la cause C/12730/2018-4 SQP. Au fond : Le rejette. Déboute les parties de toutes autres conclusions. Sur les frais : Arrête les frais judiciaires du recours à 1'500 fr., les met à la charge de A______ et les compense avec l'avance de même montant qu'il a versée et qui reste acquise à l'Etat de Genève. Condamne A______ à verser à B______ 2'000 fr. à titre de dépens de recours. Siégeant : Madame Nathalie LANDRY-BARTHE, présidente; Madame Paola CAMPOMAGNANI et Madame Fabienne GEISINGER-MARIETHOZ,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