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ACJC/1774/2020 vom 9. Dezember 2020</w:t>
      </w:r>
    </w:p>
    <w:p>
      <w:r>
        <w:t>GE Cour de justice, 2020-12-09, FR</w:t>
      </w:r>
    </w:p>
    <w:p>
      <w:r>
        <w:rPr>
          <w:b/>
        </w:rPr>
        <w:t xml:space="preserve">Quelle: </w:t>
      </w:r>
      <w:r>
        <w:t>https://mcp.opencaselaw.ch/entscheid/ge_gerichte_ACJC_1774_2020</w:t>
      </w:r>
    </w:p>
    <w:p>
      <w:r>
        <w:t>FR: GE_GERICHTE ACJC/1774/2020 du 9 décembre 2020</w:t>
      </w:r>
    </w:p>
    <w:p>
      <w:r>
        <w:t>IT: GE_GERICHTE ACJC/1774/2020 del 9 dicembre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- 4/6 -</w:t>
      </w:r>
    </w:p>
    <w:p>
      <w:r>
        <w:t>C/5099/2020</w:t>
      </w:r>
    </w:p>
    <w:p>
      <w:r>
        <w:rPr>
          <w:b/>
        </w:rPr>
        <w:t>E. 1.2.1</w:t>
      </w:r>
    </w:p>
    <w:p>
      <w:r>
        <w:t>Aux termes de l'art. 321 al. 1 et 2 CPC, le recours, écrit et motivé, doit, en procédure sommaire, être introduit auprès de l'instance de recours dans les dix jours à compter de la notification de la décision motivée. La motivation d'un recours doit, à tout le moins, satisfaire aux exigences qui sont posées pour un acte d'appel (art. 311 al. 1 CPC;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5A_488/2015 précité consid. 3.2.1; 4A_290/2014 du 1er septembre 2014 consid. 3.1 et les arrêts cités, publié in : RSPC 2015 p. 52 n° 1614). La motivation est une condition légale de recevabilité qui doit être examinée d'office.</w:t>
      </w:r>
    </w:p>
    <w:p>
      <w:r>
        <w:rPr>
          <w:b/>
        </w:rPr>
        <w:t>E. 1.2.2</w:t>
      </w:r>
    </w:p>
    <w:p>
      <w:r>
        <w:t>En l'espèce, le recourant conteste, dans son courrier du 13 juillet 2020, devoir payer 2'000 fr. alors que le solde de la poursuite s'élève à 1'092 fr. Le jugement attaqué ne prévoit cependant pas que le recourant doit payer la somme de 2'000 fr., mais uniquement que la mainlevée provisoire de l'opposition formée au commandement de payer est prononcée sous imputation (soit sous déduction) de 2'000 fr., ce qui est différent. Le recourant relève également dans son courrier du 13 juillet 2020 que le Tribunal avait rendu son jugement le 24 juin 2020 alors qu'il lui avait imparti un délai au 26 juin 2020 pour produire certains documents. Il n'explique cependant pas quelles conséquences il faudrait en tirer. Il ne soutient notamment pas qu'il aurait effectué un paiement supplémentaire entre le 24 et le 26 juin 2020 qui devrait être ajouté au montant de 2'000 fr. imputé sur le montant réclamé par voie de poursuite. Le courrier du 22 juillet 2002, outre le fait qu'il a été expédié après la fin du délai de recours, ne contient pas davantage de critique motivée du jugement attaqué. Pour le surplus, le recourant ne conteste pas que les conditions pour le prononcé de la mainlevée provisoire de son opposition étaient remplies.</w:t>
      </w:r>
    </w:p>
    <w:p>
      <w:r>
        <w:t>- 5/6 -</w:t>
      </w:r>
    </w:p>
    <w:p>
      <w:r>
        <w:t>C/5099/2020 Dès lors, en l'absence de toute critique motivée du jugement attaqué, le recours sera déclaré irrecevable.</w:t>
      </w:r>
    </w:p>
    <w:p>
      <w:r>
        <w:rPr>
          <w:b/>
        </w:rPr>
        <w:t>E. 2</w:t>
      </w:r>
    </w:p>
    <w:p>
      <w:r>
        <w:t>Le recourant, qui succombe, sera condamné aux frais judiciaires (art. 106 al. 1 CPC), arrêtés à 300 fr. (art. 48 et 61 OELP), compensés avec l'avance fournie, qui reste acquise à l'Etat de Genève.</w:t>
      </w:r>
    </w:p>
    <w:p>
      <w:r>
        <w:t>Aucun dépens ne sera alloué à l'intimé, qui comparaît en personne et n'en a pas réclamé. * * * * *</w:t>
      </w:r>
    </w:p>
    <w:p>
      <w:r>
        <w:t>- 6/6 -</w:t>
      </w:r>
    </w:p>
    <w:p>
      <w:r>
        <w:t>C/5099/2020 PAR CES MOTIFS, La Chambre civile : Déclare irrecevable le recours interjeté le 13 juillet 2020 par A______ contre le jugement JTPI/8279/2020 rendu le 24 juin 2020 par le Tribunal de première instance dans la cause C/5099/2020-8 SML. Arrête les frais judicaires à 300 fr., les met à la charge de A______ et dit qu'ils sont compensés avec l'avance fournie, qui reste acquise à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