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ACJC/175/2019 vom 24. Januar 2019</w:t>
      </w:r>
    </w:p>
    <w:p>
      <w:r>
        <w:t>GE Cour de justice, 2019-01-24, FR</w:t>
      </w:r>
    </w:p>
    <w:p>
      <w:r>
        <w:rPr>
          <w:b/>
        </w:rPr>
        <w:t xml:space="preserve">Quelle: </w:t>
      </w:r>
      <w:r>
        <w:t>https://mcp.opencaselaw.ch/entscheid/ge_gerichte_ACJC_175_2019</w:t>
      </w:r>
    </w:p>
    <w:p>
      <w:r>
        <w:t>FR: GE_GERICHTE ACJC/175/2019 du 24 janvier 2019</w:t>
      </w:r>
    </w:p>
    <w:p>
      <w:r>
        <w:t>IT: GE_GERICHTE ACJC/175/2019 del 24 gennaio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w:t>
      </w:r>
    </w:p>
    <w:p>
      <w:r>
        <w:rPr>
          <w:b/>
        </w:rPr>
        <w:t>E. 1.2</w:t>
      </w:r>
    </w:p>
    <w:p>
      <w:r>
        <w:t>En l'espèce, le loyer annuel des locaux, charges comprises, s'élevant à 71'088 fr., la valeur litigieuse est largement supérieure à 10'000 fr., de sorte que la voie de l'appel est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w:t>
      </w:r>
    </w:p>
    <w:p>
      <w:r>
        <w:t>- 10/15 -</w:t>
      </w:r>
    </w:p>
    <w:p>
      <w:r>
        <w:t>C/13591/2016 instance bien que la partie qui s'en prévaut ait fait preuve de la diligence requise (let. b). Les deux conditions sont cumulatives (JEANDIN, Code de procédure civile commenté, Bâle, 2011, n. 6 ad art. 317 CPC).</w:t>
      </w:r>
    </w:p>
    <w:p>
      <w:r>
        <w:rPr>
          <w:b/>
        </w:rPr>
        <w:t>E. 2.2</w:t>
      </w:r>
    </w:p>
    <w:p>
      <w:r>
        <w:t>En l'espèce, l’appelant produit une pièce nouvelle, soit le jugement JTBL/1009/2017 prononcé par le Tribunal le 1er novembre 2017 et rendu dans la cause C/1______/2015. Cette pièce est recevable car elle ne pouvait être produite auparavant. Pour la même raison, les faits s’y rapportant sont également recevables. Dans sa duplique du 16 avril 2018, l’intimée a fait valoir des faits nouveaux, soit que la gérance du restaurant avait été reprise par I______. Elle a produit, à l’appui de ceux-ci, une pièce nouvelle, à savoir un extrait du Registre du commerce duquel il ressort que I______ figure sur l’extrait de A______ SA avec un pouvoir de signature collective avec le président. Ces faits et moyen de preuve sont recevables car ils sont notoires et postérieurs au jugement querellé.</w:t>
      </w:r>
    </w:p>
    <w:p>
      <w:r>
        <w:rPr>
          <w:b/>
        </w:rPr>
        <w:t>E. 3</w:t>
      </w:r>
    </w:p>
    <w:p>
      <w:r>
        <w:t>L'appelante reproche au Tribunal d'avoir déclaré le congé valable.</w:t>
      </w:r>
    </w:p>
    <w:p>
      <w:r>
        <w:rPr>
          <w:b/>
        </w:rPr>
        <w:t>E. 3.1</w:t>
      </w:r>
    </w:p>
    <w:p>
      <w:r>
        <w:t>Un congé est inefficace et dénué d'effet lorsqu'il ne satisfait pas aux exigences légales ou contractuelles auxquelles est subordonné son exercice. Ainsi, le congé motivé par le défaut de paiement de loyer, alors qu'en réalité, le loyer a été payé, le congé donné pour de justes motifs qui ne sont pas réalisés, le congé signifié pour une date qui ne correspond pas aux termes contractuels ou légaux (art. 266a al. 2 CO), le congé donné en raison d'une violation des devoirs de diligence qui se révèlera inexistante et le congé anticipé donné à la suite d'un transfert de propriété, alors que le besoin n'est pas urgent, est inefficace (cf. ATF 135 III 441 consid. 3.1; 121 III 156 consid. 1c/aa; arrêt du Tribunal fédéral 4A_456/2010 du 18 avril 2011 consid. 3.2). Les effets d'un congé inefficace ne sont pas reportés au prochain terme contractuel utile. L'art. 266a al. 2 CO n'est pas applicable au congé extraordinaire (ATF 135 III 441 consid. 3.3).</w:t>
      </w:r>
    </w:p>
    <w:p>
      <w:r>
        <w:rPr>
          <w:b/>
        </w:rPr>
        <w:t>E. 3.2</w:t>
      </w:r>
    </w:p>
    <w:p>
      <w:r>
        <w:t>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contrat (ATF 132 III 109 consid. 5; 123 III 124 consid. 2a; arrêt du Tribunal fédéral 4A_367/2010 du 4 octobre 2010 consid. 2.1). La violation incriminée doit être telle que l'on ne puisse raisonnablement exiger du bailleur qu'il laisse le locataire disposer des locaux, ce qui suppose que les principes de proportionnalité et de subsidiarité soient respectés (ACJC/119/2005</w:t>
      </w:r>
    </w:p>
    <w:p>
      <w:r>
        <w:t>- 11/15 -</w:t>
      </w:r>
    </w:p>
    <w:p>
      <w:r>
        <w:t>C/13591/2016 du 14.02.2005 SI X c/ W, K et K; ATF 4C.273/2005 du 22.11.2005 consid. 2.1; arrêt du Tribunal fédéral 4C.118/2001 du 08 août 2001 consid. 1 b) bb) ddd). Une sous-location sans le consentement du bailleur peut justifier une résiliation anticipée du bail selon l'art. 257f al. 3 CO. Cette situation se présente lorsque le locataire passe outre un refus du bailleur de consentir à la sous-location ou qu'il s'abstient de demander l'autorisation de sous-louer. Dans le premier cas, s'il était en droit de refuser son consentement pour l'un des motifs de l'art. 262 al. 2 CO, le bailleur peut résilier le bail conformément à l'art. 257f al. 3 CO (LACHAT, Commentaire romand, n. 4 ad art. 262 CO; HIGI, Zürcher Kommentar, n. 49 ad art. 262 CO; ENGEL, Contrats de droit suisse, 2ème éd., p. 175). Comme le refus du consentement n'équivaut pas à la protestation exigée par l'art. 257f al. 3 CO, le bailleur devra toutefois avoir préalablement sommé en vain le locataire de mettre un terme à la sous-location (HIGI, ibid.; arrêt du Tribunal fédéral 4A_516/2007 du</w:t>
      </w:r>
    </w:p>
    <w:p>
      <w:r>
        <w:rPr>
          <w:b/>
        </w:rPr>
        <w:t>E. 3.3</w:t>
      </w:r>
    </w:p>
    <w:p>
      <w:r>
        <w:t>En l’occurrence, par courrier du 20 mai 2015, l’intimée a indiqué à l’appelante avoir constaté l’ouverture d’un restaurant japonais dénommé «K______» en lieu et place du café-restaurant «J______». Elle considérait qu’il s’agissait-là d’une violation contractuelle puisque le contrat prévoyait que les locaux étaient destinés à l’exploitation commerciale pour le locataire exclusivement et qu’il avait été convenu que le locataire ne pouvait rénover, équiper, modifier ou adapter les locaux sans le consentement du bailleur. Il n’est pas contesté que ce courrier constitue une protestation écrite du bailleur au sens de la jurisprudence. Reste néanmoins à déterminer si l’appelante enfreignait alors son devoir de diligence et si elle a persisté à l’enfreindre ensuite, de telle sorte que la résiliation, intervenue le 27 mai 2016, a été valablement donnée. Dans son jugement du 1er novembre 2017, aujourd'hui définitif (C/1______/2015), le Tribunal a constaté que l’appelante était en droit de sous-louer les locaux à E______ SA. Il a retenu, dans ce cadre, que l’appelante avait bien communiqué toutes les informations de la sous-location à l’intimée et que les autres conditions de la sous-location étaient remplies, le montant du sous-loyer étant identique au loyer principal, celui de la redevance n’étant pas abusif et considérant qu’aucun indice ne laissait croire que l’appelante n’avait pas l’intention de réintégrer les locaux. Dès lors, il ne peut être retenu qu’elle a persisté à l’enfreindre et, partant, que la résiliation est valable. Il était en effet nécessaire, si l’intimée considérait que l’appelante enfreignait son devoir de diligence parce qu’elle aurait perdu l’intention de réintégrer les lieux entretemps, qu’elle adresse une nouvelle</w:t>
      </w:r>
    </w:p>
    <w:p>
      <w:r>
        <w:t>- 13/15 -</w:t>
      </w:r>
    </w:p>
    <w:p>
      <w:r>
        <w:t>C/13591/2016 protestation écrite à la locataire. Contrairement à ce qu’elle soutient, l’intimée ne pouvait s’en abstenir au motif qu’une telle protestation aurait manifestement été inutile, dès lors que l’appelante avait elle-même entamé une procédure afin de savoir si elle était en droit de remettre les locaux en gérance ou non. Compte tenu de ce qui précède, l’intimée a échoué à démontrer que les conditions de la résiliation extraordinaire, notifiée le 27 mai 2016, sont réalisées et partant la validité du congé. Même à considérer qu’une nouvelle protestation écrite aurait été inutile, l’appelante n'aurait pas échoué à démontrer son intention de réintégrer les locaux. En effet, il n’appartient pas à l’appelante de prouver que les conditions de la résiliation extraordinaire ne sont pas réalisées mais à l’intimée qu’elles le sont, le fardeau de la preuve appartenant à cette dernière. L'’appelante avait l’intention de réintégrer les locaux au moment déterminant, soit lors de l’envoi du congé. En ce sens, l’administrateur de l’appelante a déclaré, lors de l’audience du 29 avril 2016, intervenue avant la résiliation litigeuse, que l’objectif de l’appelante était de reprendre l’exploitation des locaux au plus tard dans les cinq ans, le concept restant à définir. La mise en gérance des locaux à E______ SA pour une période de cinq ans renouvelable n’a en outre rien de contradictoire avec l’intention de la locataire de reprendre possession des lieux à terme, comme l’ont constaté les premiers juges, qui avaient pourtant considéré réelle et suffisante l’intention de réintégrer de la locataire, en 2015, alors que le contrat de mise en gérance en faveur de E______ SA avait d’ores et déjà été conclu. La deuxième mise en gérance, en faveur de G______ SARL, ne constitue pas d’avantage un indice de l’absence de volonté de réintégrer les locaux par l’appelante puisqu’il a été mis fin à la première gérance pour des motifs indépendants de la volonté de cette dernière, soit en raison des difficultés financières rencontrées par E______ SA, fait confirmé par l’administrateur de E______ SA. Ainsi, peu importe que le transfert de gérance de E______ SA à G______ SARL soit intervenu avant - comme le soutient l’intimée - ou après la résiliation - comme le soutient l’appelante. Quant à la conclusion du contrat de société avec F______ SARL, il est admis qu’elle date du 28 février 2017, soit postérieurement à l’envoi de la résiliation. Ainsi, il ne peut en être tenu compte pour déterminer la validité de la résiliation. Au demeurant, l’appelante ayant investi des sommes importantes dans les locaux, ce qui est admis par l’intimée, le contrat ne peut être considéré comme un contrat de bail à ferme déguisé en raison d’une disproportion évidente du partage des pertes. Finalement, le fait que l’appelante n’ait exploité les locaux que durant quelques mois avant de les remettre en gérance n’affecte pas sa volonté claire de réintégrer les locaux trois à cinq années plus tard, compte tenu de la durée du bail, particulièrement longue, convenue entre les parties et du fait que le bail a été annoté au Registre foncier.</w:t>
      </w:r>
    </w:p>
    <w:p>
      <w:r>
        <w:t>- 14/15 -</w:t>
      </w:r>
    </w:p>
    <w:p>
      <w:r>
        <w:t>C/13591/2016 Pour les motifs qui précèdent, il faut retenir que l’intimée a échoué à démontrer que l’intention de l’appelante de réintégrer les locaux n’était pas suffisante et ainsi que les conditions d’une résiliation extraordinaire étaient remplies. Partant, le jugement querellé sera annulé et le congé déclaré inefficace, sans qu’il n’y ait lieu d’examiner les conclusions de l’appelante en annulation du congé, et subsidiairement en prolongation de bail.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- 15/15 -</w:t>
      </w:r>
    </w:p>
    <w:p>
      <w:r>
        <w:t>C/13591/2016 PAR CES MOTIFS, La Chambre des baux et loyers : A la forme : Déclare recevable l'appel interjeté le 8 décembre 2017 par A______ SA contre le jugement JTBL/1010/2017 rendu le 1er novembre 2017 par le Tribunal des baux et loyers dans la cause C/13591/2016. Au fond : Annule ce jugement. Cela fait et statuant à nouveau : Déclare le congé du 27 mai 2016 inefficace. Dit que la procédure est gratuite. Déboute les parties de toutes autres conclusions. Siégeant : Nathalie LANDRY-BARTHE, présidente; Madame Sylvie DROIN et Monsieur Laurent RIEBEN, juges; Madame Laurence MIZRAHI et Monsieur Bertrand REICH,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r>
        <w:rPr>
          <w:b/>
        </w:rPr>
        <w:t>E. 6</w:t>
      </w:r>
    </w:p>
    <w:p>
      <w:r>
        <w:t>mars 2008 consid. 3.1). Pour respecter l'exigence d'avertissement écrit, le bailleur doit inviter le locataire à se conformer aux exigences légales, en l'enjoignant à mettre un terme à la sous-location ou en protestant contre l'absence de demande d'autorisation et, le cas échéant, en exigeant de prendre connaissance des conditions de sous-location (ATF 134 III 300 consid. 3.1; 134 III 446 consid. 2.2). Le délai imparti par le bailleur pour mettre fin à la sous-location doit être raisonnable. Selon LACHAT, un délai de l'ordre d'un mois pour mettre un terme à la sous-location suffit (LACHAT, Le bail à loyer, Lausanne, 2008, p. 575, note 70). Selon les circonstances, le bailleur impartira au locataire un délai pour se conformer au contrat. Le bailleur est en droit de s'abstenir de la protestation écrite, s'il apparaît d'emblée qu'elle sera manifestement inutile, lorsque par exemple le locataire se dérobe à la réception de la lettre. On applique ici l'art. 108 ch. 1 CO par analogie (WESSNER, op. cit., n. 67, p. 19 et références citées sous n. 115). L'art. 108 ch. 1 CO doit être admis de manière tout à fait exceptionnelle afin d'éviter de vider de sa substance l'exigence prévue à l'art. 257f al. 3 CO (ACJC/235/2014). En vertu de l'art. 108 ch. 1 CO, la fixation d'un délai n'est pas nécessaire, lorsqu'il ressort de l'attitude du débiteur que cette mesure serait sans effet. Le Tribunal fédéral a jugé valable le congé anticipé donné par un bailleur qui, après avoir découvert une sous-location non autorisée, avait invité sans succès le locataire à lui en communiquer les conditions; l'intéressé avait même nié les faits. Les conditions pratiquées s'étant de surcroît révélées abusives, le bailleur disposait rétrospectivement de deux motifs pour congédier le locataire (art. 262 al. 2 let. a et b CO; ATF 134 III 300 consid. 3.2). Les cas dans lesquels le bailleur peut s'opposer à la sous-location, énumérés de manière exhaustive à l'art. 262 al. 2 CO, sont les suivants : lorsque le locataire</w:t>
      </w:r>
    </w:p>
    <w:p>
      <w:r>
        <w:t>- 12/15 -</w:t>
      </w:r>
    </w:p>
    <w:p>
      <w:r>
        <w:t>C/13591/2016 refuse de lui communiquer les conditions de la sous-location (a), lorsque les conditions de la sous-location, comparées à celle du contrat de bail, sont abusives (b), ou lorsque la sous-location présente pour le bailleur des inconvénients majeurs (c) (arrêt du Tribunal fédéral 4A_290/2015 du 9 septembre 2015 consid. 4.3.1). Le bailleur qui donne un tel congé supporte le fardeau de la preuve pour la validité du congé (cf. ATF 138 III 59 consid. 2.1; WEBER, in Commentaire bâlois, 5ème éd. 2011, n. 8 ad art. 257f CO). Il doit prouver que les conditions d'une résiliation anticipée sont données et, partant, que la sous-location n'est pas licite, par exemple parce que le locataire n'a pas l'intention de réutiliser lui-même l'objet loué dans un avenir prévisible. Apporter la preuve de ce fait interne peut être très difficile, voire impossible pour le bailleur. Il y a lieu d'admettre un devoir de collaboration du locataire (sur ce devoir en général, cf. WALTER, Commentaire bernois, 2012, n. 318 ss ad art. 8 CC; ATF 119 II 305, à propos des faits négatifs; arrêt du Tribunal fédéral 4A_430/2013 du 14 février 2014 consid. 4.2). Enfin, pour juger de la validité de la résiliation, il faut se placer au moment où celle-ci a été notifiée (ATF 138 III 59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