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ACJC/174/2022 vom 8. Februar 2022</w:t>
      </w:r>
    </w:p>
    <w:p>
      <w:r>
        <w:t>GE Cour de justice, 2022-02-08, FR</w:t>
      </w:r>
    </w:p>
    <w:p>
      <w:r>
        <w:rPr>
          <w:b/>
        </w:rPr>
        <w:t xml:space="preserve">Quelle: </w:t>
      </w:r>
      <w:r>
        <w:t>https://mcp.opencaselaw.ch/entscheid/ge_gerichte_ACJC_174_2022</w:t>
      </w:r>
    </w:p>
    <w:p>
      <w:r>
        <w:t>FR: GE_GERICHTE ACJC/174/2022 du 8 février 2022</w:t>
      </w:r>
    </w:p>
    <w:p>
      <w:r>
        <w:t>IT: GE_GERICHTE ACJC/174/2022 del 8 febbraio 2022</w:t>
      </w:r>
    </w:p>
    <w:p>
      <w:pPr>
        <w:pStyle w:val="Heading2"/>
      </w:pPr>
      <w:r>
        <w:t>Erwägungen</w:t>
      </w:r>
    </w:p>
    <w:p>
      <w:r>
        <w:rPr>
          <w:b/>
        </w:rPr>
        <w:t>E. 1.1</w:t>
      </w:r>
    </w:p>
    <w:p>
      <w:r>
        <w:t>Interjeté dans le délai utile de trente jours (art. 145 al. 3, 311 al. 1 CPC), suivant la forme prescrite par la loi (art. 130, 131, 311 al. 1 CPC), à l'encontre d'une décision finale de première instance (art. 308 al. 1 let. a CPC) statuant sur une affaire non pécuniaire, puisque portant notamment sur les droits parentaux</w:t>
      </w:r>
    </w:p>
    <w:p>
      <w:r>
        <w:t>- 11/23 -</w:t>
      </w:r>
    </w:p>
    <w:p>
      <w:r>
        <w:t>C/19803/2019 (arrêt du Tribunal fédéral 5A_512/2017 du 22 décembre 2017 consid. 2.1), l'appel est recevable.</w:t>
      </w:r>
    </w:p>
    <w:p>
      <w:r>
        <w:rPr>
          <w:b/>
        </w:rPr>
        <w:t>E. 1.2</w:t>
      </w:r>
    </w:p>
    <w:p>
      <w:r>
        <w:t>Sont également recevables la réponse de l'intimée ainsi que les réplique et duplique respectives, déposées dans les délais légaux, respectivement impartis à cet effet (art. 312 al. 2, 316 al. 1 CPC).</w:t>
      </w:r>
    </w:p>
    <w:p>
      <w:r>
        <w:rPr>
          <w:b/>
        </w:rPr>
        <w:t>E. 2.1</w:t>
      </w:r>
    </w:p>
    <w:p>
      <w:r>
        <w:t>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2.2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L'intimée conclut à ce que les pièces 62 à 75 produites par l'appelant devant la Cour soient écartées de la procédure pour cause de tardiveté.</w:t>
      </w:r>
    </w:p>
    <w:p>
      <w:r>
        <w:rPr>
          <w:b/>
        </w:rPr>
        <w:t>E. 3.1</w:t>
      </w:r>
    </w:p>
    <w:p>
      <w:r>
        <w:t>La Cour examine d'office la recevabilité des faits et moyens de preuve nouveaux ainsi que des conclusions nouvelles en appel (REETZ/HILBER, Kommentar zur Schweizerischen Zivilprozessordnung, 3ème éd. 2016, n. 26 ad art. 317 CPC).</w:t>
      </w:r>
    </w:p>
    <w:p>
      <w:r>
        <w:t>- 12/23 -</w:t>
      </w:r>
    </w:p>
    <w:p>
      <w:r>
        <w:t>C/19803/2019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cependant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w:t>
      </w:r>
    </w:p>
    <w:p>
      <w:r>
        <w:rPr>
          <w:b/>
        </w:rPr>
        <w:t>E. 3.2</w:t>
      </w:r>
    </w:p>
    <w:p>
      <w:r>
        <w:t>En l’espèce, les pièces nouvelles produites par les parties devant la Cour concernent leurs situations personnelles et financières. Elles sont donc pertinentes pour statuer sur les contributions d’entretien des enfants. La maxime inquisitoire illimitée étant applicable sur ce point, ces pièces sont par conséquent recevables, de même que les faits auxquels elles se rapportent. L'intimée sera dès lors déboutée de ses conclusions tendant à faire écarter les pièces produites par l'appelant de la procédure.</w:t>
      </w:r>
    </w:p>
    <w:p>
      <w:r>
        <w:rPr>
          <w:b/>
        </w:rPr>
        <w:t>E. 4</w:t>
      </w:r>
    </w:p>
    <w:p>
      <w:r>
        <w:t>L'appelant conteste en substance le revenu mensuel imputé par le Tribunal ainsi que les charges admises en première instance. Il fait valoir que son disponible serait en réalité équivalent à celui de l'intimée. La garde des enfants étant partagée, c'était dès lors à tort que le premier juge l'avait condamné à verser une contribution d'entretien en faveur des enfants, alors qu'il avait proposé d'assumer les coûts d'entretien de l'enfant C______ jusqu'à la fin de sa formation, l'intimée assumant quant à elle ceux de l'enfant D______, et les parties se partageant les allocations familiales. Une telle solution était d'autant plus justifiée qu'elle lui éviterait de subir les désagréments du "splitting" fiscal, alors qu'il contribue à l'entretien des enfants. 4.1.1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w:t>
      </w:r>
    </w:p>
    <w:p>
      <w:r>
        <w:t>- 13/23 -</w:t>
      </w:r>
    </w:p>
    <w:p>
      <w:r>
        <w:t>C/19803/2019 Le versement d'une contribution d'entretien en espèces suppose une capacité contributive correspondante (art. 285 al. 1 CC),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 précité, ibidem et les arrêts cités). En cas de garde partagée avec prise en charge de l'enfant à parts égales, il n'est pas non plus exclu, selon la capacité contributive des père et mère, que l'un des parents doive verser des contributions d'entretien pécuniaires en plus de la prise en charge personnelle qu'il fournit (arrêts du Tribunal fédéral 5A_86/2016 du</w:t>
      </w:r>
    </w:p>
    <w:p>
      <w:r>
        <w:rPr>
          <w:b/>
        </w:rPr>
        <w:t>E. 5</w:t>
      </w:r>
    </w:p>
    <w:p>
      <w:r>
        <w:t>L'intimée n'ayant pas interjeté d'appel joint à cette fin et rien ne laissant supposer, en l'état, que l'appelant ne se soumettra pas aux dispositions du jugement querellé, il ne sera pour le surplus pas donné suite à la proposition figurant dans sa duplique (cf. En fait, let. E.d) d'ordonner, conformément aux art. 177 CC et 296 al. 3 CPC, un avis aux débiteurs (sur ce point, cf. parmi d'autres arrêt du Tribunal fédéral 5A_958/2012 du 27 juillet 2013 consid. 2.3.2.1) afin que l'employeur de l'appelant verse directement en ses mains les contributions d'entretien dues aux enfants.</w:t>
      </w:r>
    </w:p>
    <w:p>
      <w:r>
        <w:rPr>
          <w:b/>
        </w:rPr>
        <w:t>E. 6.1</w:t>
      </w:r>
    </w:p>
    <w:p>
      <w:r>
        <w:t>Les frais - qui comprennent les frais judiciaires et les dépens (art. 95 al. 1 CPC) - sont mis à la charge de la partie qui succombe (art. 106 al. 1 1ère phrase CPC). La Cour peut s'écarter des règles générales et répartir les frais selon sa libre</w:t>
      </w:r>
    </w:p>
    <w:p>
      <w:r>
        <w:t>- 21/23 -</w:t>
      </w:r>
    </w:p>
    <w:p>
      <w:r>
        <w:t>C/19803/2019 appréciation, notamment lorsque le litige relève du droit de la famille (art. 107 al. 1 let. c CPC).</w:t>
      </w:r>
    </w:p>
    <w:p>
      <w:r>
        <w:rPr>
          <w:b/>
        </w:rPr>
        <w:t>E. 6.2</w:t>
      </w:r>
    </w:p>
    <w:p>
      <w:r>
        <w:t>En l'espèce, les frais de la procédure d'appel seront arrêtés à 2'000 fr. (art. 30 et 35 RTFMC). Dès lors que l'appelant succombe intégralement, ces frais seront mis à sa charge et compensés avec l'avance qu'il a versée (art. 111 al. 1 CPC), les Services financiers du Pouvoir judiciaire étant pour le surplus invités à lui restituer le solde de son avance de frais en 3'000 fr. Eu égard à la nature familiale du litige, il ne sera pas alloué de dépens d'appel (art. 107 al. 1 let. c CPC). * * * * *</w:t>
      </w:r>
    </w:p>
    <w:p>
      <w:r>
        <w:t>- 22/23 -</w:t>
      </w:r>
    </w:p>
    <w:p>
      <w:r>
        <w:t>C/19803/2019 PAR CES MOTIFS, La Chambre civile : A la forme : Déclare recevable l'appel interjeté par A______ le 17 juin 2021 contre les chiffres 5, 6,</w:t>
      </w:r>
    </w:p>
    <w:p>
      <w:r>
        <w:rPr>
          <w:b/>
        </w:rPr>
        <w:t>E. 8</w:t>
      </w:r>
    </w:p>
    <w:p>
      <w:r>
        <w:t>et 9 du dispositif du jugement JTPI/5881/2021 rendu le 12 mai 2021 par le Tribunal de première instance dans la cause C/19803/2019-22. Au fond : Confirme ce jugement. Déboute les parties de toutes autres ou contraires conclusions. Sur les frais : Arrête les frais judiciaires d'appel à 2'000 fr., les met à la charge de A______ et les compense avec l'avance effectuée par le précité, qui reste acquise à l'Etat de Genève. Invite les Services financiers du Pouvoir judiciaire à restituer à A______ le solde de son avance de frais en 3'000 fr. Dit que chaque partie supporte ses propres dépens d'appel. Siégeant : Madame Jocelyne DEVILLE-CHAVANNE, présidente; Madame Verena PEDRAZZINI RIZZI, Madame Nathalie LANDRY-BARTHE, juges; Madame Camille LESTEVEN, greffière.</w:t>
      </w:r>
    </w:p>
    <w:p>
      <w:r>
        <w:t>La présidente : Jocelyne DEVILLE-CHAVANNE</w:t>
      </w:r>
    </w:p>
    <w:p>
      <w:r>
        <w:t>La greffière : Camille LESTEVEN</w:t>
      </w:r>
    </w:p>
    <w:p>
      <w:r>
        <w:t>- 23/23 -</w:t>
      </w:r>
    </w:p>
    <w:p>
      <w:r>
        <w:t>C/19803/2019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