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ACJC/174/2021 vom 9. Februar 2021</w:t>
      </w:r>
    </w:p>
    <w:p>
      <w:r>
        <w:t>GE Cour de justice, 2021-02-09, FR</w:t>
      </w:r>
    </w:p>
    <w:p>
      <w:r>
        <w:rPr>
          <w:b/>
        </w:rPr>
        <w:t xml:space="preserve">Quelle: </w:t>
      </w:r>
      <w:r>
        <w:t>https://mcp.opencaselaw.ch/entscheid/ge_gerichte_ACJC_174_2021</w:t>
      </w:r>
    </w:p>
    <w:p>
      <w:r>
        <w:t>FR: GE_GERICHTE ACJC/174/2021 du 9 février 2021</w:t>
      </w:r>
    </w:p>
    <w:p>
      <w:r>
        <w:t>IT: GE_GERICHTE ACJC/174/2021 del 9 febbraio 2021</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(art. 308 al. 1 let. b et al. 2 CPC). En l'espèce, la cause porte sur les contributions à l'entretien de l'enfant et de l'épouse, dont la valeur capitalisée est supérieure à 10'000 fr. (art. 92 CPC), ainsi que sur une provisio ad litem de 50'000 fr. La voie de l'appel est dès lors ouverte.</w:t>
      </w:r>
    </w:p>
    <w:p>
      <w:r>
        <w:rPr>
          <w:b/>
        </w:rPr>
        <w:t>E. 1.2</w:t>
      </w:r>
    </w:p>
    <w:p>
      <w:r>
        <w:t>Interjetés dans le délai utile de dix jours (art. 271 let. a et 314 al. 1 CPC) et suivant la forme prescrite par la loi (art. 130, 131, 311 al. 1 CPC), les appels formés par les époux sont recevables. Par économie de procédure, les deux appels seront traités dans le même arrêt (cf. art. 125 CPC). A______, requérante sur mesures provisionnelles, sera désignée comme l'appelante et B______ comme l'intimé.</w:t>
      </w:r>
    </w:p>
    <w:p>
      <w:r>
        <w:rPr>
          <w:b/>
        </w:rPr>
        <w:t>E. 1.3</w:t>
      </w:r>
    </w:p>
    <w:p>
      <w:r>
        <w:t>La Cour revoit la cause avec un plein pouvoir d'examen (art. 310 CPC). L'instance d'appel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Les mesures provisionnelles étant soumises à la procédure sommaire, avec administration restreinte des moyens de preuve, la cognition du juge est limitée à la simple vraisemblance des faits et à un examen sommaire du droit, l'exigence de célérité étant privilégiée par rapport à celle de sécurité (ATF 127 III 474 consid. 2b/bb; arrêt du Tribunal fédéral 5A_442/2013 du 24 juillet 2013 consid. 2.1 et 5.1).</w:t>
      </w:r>
    </w:p>
    <w:p>
      <w:r>
        <w:rPr>
          <w:b/>
        </w:rPr>
        <w:t>E. 1.5</w:t>
      </w:r>
    </w:p>
    <w:p>
      <w:r>
        <w:t>En tant qu'il concerne l'entretien de l'épouse (contribution et provisio ad litem), le litige est soumis à la maxime inquisitoire simple (art. 272 et 276 al. 1 CPC) et au principe de disposition (art. 58 CPC; arrêt du Tribunal fédéral 5A_970/2017 du 7 juin 2018 consid. 3.1). La contribution due à l'entretien d'un enfant est soumise aux maximes inquisitoire illimitée et d'office (art. 296 al. 1 et 3 CPC), ce qui a notamment pour</w:t>
      </w:r>
    </w:p>
    <w:p>
      <w:r>
        <w:t>- 12/22 -</w:t>
      </w:r>
    </w:p>
    <w:p>
      <w:r>
        <w:t>C/18864/2019 conséquence que le juge n'est pas lié par les conclusions des parents.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w:t>
      </w:r>
    </w:p>
    <w:p>
      <w:r>
        <w:rPr>
          <w:b/>
        </w:rPr>
        <w:t>E. 2</w:t>
      </w:r>
    </w:p>
    <w:p>
      <w:r>
        <w:t>En appel, l'intimé allègue des faits nouveaux et produit de nouvelles pièces.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tous les nova sont admis en appel (arrêt du Tribunal fédéral 5A_788/2017 du 2 juillet 2018 consid. 4.2.1).</w:t>
      </w:r>
    </w:p>
    <w:p>
      <w:r>
        <w:rPr>
          <w:b/>
        </w:rPr>
        <w:t>E. 2.2</w:t>
      </w:r>
    </w:p>
    <w:p>
      <w:r>
        <w:t>Dans la mesure où elles sont susceptibles d'influencer le montant de la contribution à l'entretien de l'enfant des parties, les allégations et pièces nouvelles de l'intimé sont recevables.</w:t>
      </w:r>
    </w:p>
    <w:p>
      <w:r>
        <w:rPr>
          <w:b/>
        </w:rPr>
        <w:t>E. 3</w:t>
      </w:r>
    </w:p>
    <w:p>
      <w:r>
        <w:t>Il est admis, à juste titre, d'une part, que les faits nouveaux invoqués par l'appelante nécessitent un nouvel examen de la situation du groupe familial et, d'autre part, que cet examen doit se faire en appliquant la méthode du minimum vital du droit de la famille avec répartition de l'excédent. L'appelante fait grief au Tribunal de ne pas avoir pris en compte la totalité des revenus de l'intimé. Elle fait valoir que son époux débite son compte courant actionnaire auprès de E______ SA afin de financer ses impôts ou des dépenses pour des rallyes : en 2019, il a débité de ce compte en moyenne une somme de 3'905 fr. 60 par mois pour faire face à ses charges, ce qui représente une source de revenu supplémentaire. L'appelante fait en outre grief au premier juge d'avoir intégré dans les charges de l'intimé l'amortissement hypothécaire et de ne pas avoir retenu dans ses propres charges l'intégralité de son loyer.</w:t>
      </w:r>
    </w:p>
    <w:p>
      <w:r>
        <w:t>L'intimé reproche au Tribunal de ne pas avoir imputé à l'appelante un revenu hypothétique correspondant aux indemnités de l'assurance-chômage auxquelles elle aurait fait le choix de renoncer (2'340 fr.) et d'avoir pris en compte dans son propre revenu les dividendes payés en 2019 par E______ SA et L______ SA, alors que ceux-ci n'ont pas un caractère récurrent. Il fait en outre grief au premier juge d'avoir retenu dans les charges de son épouse les frais de véhicule, alors qu'elle ne travaille pas. Dans sa réponse à l'appel de son épouse, il soutient qu'en 2019, ses frais médicaux non remboursés totalisaient 340 fr. 10 par mois, alors que le Tribunal n'a admis à ce titre que 180 fr. 10 par mois, et ses frais dentaires</w:t>
      </w:r>
    </w:p>
    <w:p>
      <w:r>
        <w:t>- 13/22 -</w:t>
      </w:r>
    </w:p>
    <w:p>
      <w:r>
        <w:t>C/18864/2019 191 fr. 50 par mois, écartés à tort par le premier juge. En outre, il fait valoir que les frais médicaux non remboursés de son épouse représentent 53 fr. 30 par mois et non pas 213 fr., comme retenu par le Tribunal. Enfin, il soutient que le premier juge a omis de prendre en compte dans le budget de C______ 190 fr. de frais médicaux et 433 fr. 80 de frais dentaires établis par pièces.</w:t>
      </w:r>
    </w:p>
    <w:p>
      <w:r>
        <w:rPr>
          <w:b/>
        </w:rPr>
        <w:t>E. 3.1.1</w:t>
      </w:r>
    </w:p>
    <w:p>
      <w:r>
        <w:t>Dans la méthode du minimum vital avec répartition de l'excédent - "zweistufig-konkrete Methode" ou "zweistufige Methode mit Überschuss- verteilung" - il convient, d'une part, de déterminer les moyens financiers à disposition, à savoir les revenus effectifs ou hypothétiques et, d'autre part,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(arrêt du Tribunal fédéral 5A_311/2019 du 11 novembre 2020, destiné à la publication, consid. 7, traduit par BURGAT, in Entretien de l'enfant, des précisions bienvenues : une méthode (presque) complète et obligatoire pour toute la Suisse; analyse de l'arrêt du Tribunal fédéral 5A_311/2019, Newsletter DroitMatrimonial.ch janvier 2021).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 du Tribunal fédéral 5A_329/2016 du 6 décembre 2016 consid. 4.1; BASTONS BULLETTI, L'entretien après le divorce : Méthodes de calcul, montant, durée et limites, in SJ 2007 II 77, p. 84 s. et 101 s.).</w:t>
      </w:r>
    </w:p>
    <w:p>
      <w:r>
        <w:t>Dès que la situation le permet, il est admissible de tenir compte d'autres dépenses effectives, non strictement nécessaires, soit d'un minimum vital élargi (ATF 144 III 377 consid. 7.1.4; 140 III 337 consid. 4.2.3; arrêt du Tribunal fédéral 5A_450/2020 du 4 janvier 2021 consid. 4.3). Parmi les dépenses comprises dans ce minimum vital élargi figurent notamment les charges fiscales courantes (ATF 140 III 337 cons. 4.2.3; arrêt du Tribunal fédéral 5A_970/2017 du 7 juin 2018 consid. 4.2) et la part de frais médicaux non couverte par l'assurance de base pour autant que leur caractère régulier soit établi (cf. pour plus de détails sur la méthode : arrêt du Tribunal fédéral 5A_311/2019 précité consid. 6.6 et 7.2).</w:t>
      </w:r>
    </w:p>
    <w:p>
      <w:r>
        <w:rPr>
          <w:b/>
        </w:rPr>
        <w:t>E. 3.1.2</w:t>
      </w:r>
    </w:p>
    <w:p>
      <w:r>
        <w:t>Un conjoint - y compris le créancier de l'entretien (ATF 127 III 136 consid. 2c) - peut se voir imputer un revenu hypothétique, pour autant qu'il puisse</w:t>
      </w:r>
    </w:p>
    <w:p>
      <w:r>
        <w:t>- 14/22 -</w:t>
      </w:r>
    </w:p>
    <w:p>
      <w:r>
        <w:t>C/18864/2019 gagner plus que son revenu effectif en faisant preuve de bonne volonté et en accomplissant l'effort que l'on peut raisonnablement exiger de lui. L'obtention d'un tel revenu doit donc être effectivement possible (ATF 137 III 102 consid. 4.2.2.2; 128 III 4 consid. 4a).</w:t>
      </w:r>
    </w:p>
    <w:p>
      <w:r>
        <w:t>D'après la jurisprudence (ATF 123 V 234 consid. 7b/bb p. 238; arrêt du Tribunal fédéral 8C_811/2019 du 12 novembre 2020 consid. 3.1), un travailleur qui jouit d'une situation professionnelle comparable à celle d'un employeur n'a pas droit à l'indemnité de chômage lorsque, bien que licencié formellement par une entreprise, il continue de fixer les décisions de l'employeur ou à influencer celles- ci de manière déterminante. Dans le cas contraire, en effet, on détournerait par le biais d'une disposition sur l'indemnité de chômage la réglementation en matière d'indemnités en cas de réduction de l'horaire de travail, en particulier l'art. 31 al. 3 let. c LACI (RS 837.0). Selon cette disposition,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il suffit qu'une continuité des activités soit possible pour que le droit doive être nié en raison d'un risque de contournement de la loi. Selon la même jurisprudence, la situation est en revanche différente quand le salarié qui se trouve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une indemnité de chômage (arrêt du Tribunal fédéral 8C_384/2020 du 22 décembre 2020 consid. 3.1).</w:t>
      </w:r>
    </w:p>
    <w:p>
      <w:r>
        <w:rPr>
          <w:b/>
        </w:rPr>
        <w:t>E. 3.1.3</w:t>
      </w:r>
    </w:p>
    <w:p>
      <w:r>
        <w:t>La charge fiscale de l'époux concerné doit être adaptée au revenu hypothétique qui lui est imputé (arrêts du Tribunal fédéral 5A_461/2019 du</w:t>
      </w:r>
    </w:p>
    <w:p>
      <w:r>
        <w:rPr>
          <w:b/>
        </w:rPr>
        <w:t>E. 3.1.4</w:t>
      </w:r>
    </w:p>
    <w:p>
      <w:r>
        <w:t>En cas d'instauration d'une garde alternée en faveur des parents, une participation de l'un à une part du loyer de l'autre ne se justifie plus, de sorte que la prise en compte dans les charges de l'enfant d'une participation de celui-ci au loyer des parents est exclue (arrêt du Tribunal fédéral 5A_200/2019 du 29 janvier 2020 consid. 4).</w:t>
      </w:r>
    </w:p>
    <w:p>
      <w:r>
        <w:rPr>
          <w:b/>
        </w:rPr>
        <w:t>E. 3.1.5</w:t>
      </w:r>
    </w:p>
    <w:p>
      <w:r>
        <w:t>La règle selon laquelle les frais de véhicule ne peuvent être pris en considération que si celui-ci est indispensable au débiteur, à titre personnel ou pour l'exercice de la profession, ne vaut que lorsqu'on s'en tient au minimum d'existence LP. En cas de situation financière suffisamment favorable pour couvrir les charges supplémentaires liées à l'existence de deux ménages, et même si une voiture n'est pas indispensable à l'époux pour l'acquisition de son revenu, il n'est pas exclu de prendre en considération des frais de déplacement pour les activités ménagères ou de loisirs (arrêt du Tribunal fédéral 5A_703/2011 du 7 mars 2012 consid. 4.2, cité in DE WECK-IMMEL, Droit matrimonial, Commentaire pratique, 2016, N. 121 ad art. 176 CC).</w:t>
      </w:r>
    </w:p>
    <w:p>
      <w:r>
        <w:rPr>
          <w:b/>
        </w:rPr>
        <w:t>E. 3.1.6</w:t>
      </w:r>
    </w:p>
    <w:p>
      <w:r>
        <w:t>A la différence des intérêts hypothécaires qui font généralement partie du minimum vital LP, l'amortissement de la dette hypothécaire, qui ne sert pas à l'entretien mais à la constitution du patrimoine, n'est en principe pas pris en considération, sauf si les moyens financiers des époux le permettent (ATF 127 III 289 consid. 2a/bb et les références; arrêts du Tribunal fédéral 5A_102/2019 du 12 décembre 2019 consid. 3.2.1; 5A_105/2017 du 17 mai 2017 consid. 3.3.1; 5A_608/2011 du 13 décembre 2011 consid. 6.2.3; 5A_87/2007 du 2 août 2007 consid. 3.2.2; 5C_84/2006 du 29 septembre 2006 consid. 2.2.3; 5P_498/2006 du 18 juin 2006 consid. 4.4.2, résumé in FramPra.ch 2007 p. 929; 5P_425/2003 du 21 avril 2004 consid. 2.4 et les citations).</w:t>
      </w:r>
    </w:p>
    <w:p>
      <w:r>
        <w:rPr>
          <w:b/>
        </w:rPr>
        <w:t>E. 3.1.7</w:t>
      </w:r>
    </w:p>
    <w:p>
      <w:r>
        <w:t>Selon l'art. 285 al. 2 CC, la contribution à l'entretien de l'enfant sert aussi à garantir la prise en charge de celui-ci par les parents et les tiers. L'art. 276 al. 2 CC précise que l'entretien de l'enfant comprend, outre les frais de son éducation, de sa formation et des mesures prises pour le protéger, les "frais de sa prise en charge".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arrêt du Tribunal fédéral 5A_963/2018 du 23 mai 2019 consid. 3.3.1 et les références). Selon la jurisprudence,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En tant que ligne directrice, ce modèle doit néanmoins être assoupli dans des cas particuliers, en présence de motifs</w:t>
      </w:r>
    </w:p>
    <w:p>
      <w:r>
        <w:t>- 16/22 -</w:t>
      </w:r>
    </w:p>
    <w:p>
      <w:r>
        <w:t>C/18864/2019 suffisants, le juge devant procéder à un examen du cas concret (ibid., consid. 4.7). La situation médicale de l'enfant peut notamment justifier un besoin de prise en charge personnelle accru, permettant de déroger à la règle (ATF 144 III 481 consid. 4.7.9; arrêt du Tribunal fédéral 5A_963/2018 du 23 mai 2019 consid. 3.3.2 et les références) selon laquelle la prise en compte d'une contribution de prise en charge ne se justifie pas au-delà des 16 ans révolus de l'enfant (même arrêt consid. 4.3).</w:t>
      </w:r>
    </w:p>
    <w:p>
      <w:r>
        <w:rPr>
          <w:b/>
        </w:rPr>
        <w:t>E. 3.1.8</w:t>
      </w:r>
    </w:p>
    <w:p>
      <w:r>
        <w:t>La capacité contributive doit être appréciée en fonction des charges effectives du débirentier, étant précisé que seuls les montants réellement acquittés peuvent être pris en considération (ATF 121 III 20 consid. 3a et les références; arrêts du Tribunal fédéral 5A_245/2019 du 1er juillet 2019 consid. 4.2; 5A_889/2018 du 15 mai 2019 consid. 3.2.1; 5A_771/2018 du 28 mars 2019 consid. 3.2), à l'exclusion de dépenses hypothétiques dont on ne sait si elles existeront finalement - et à concurrence de quel montant - ni si elles seront en définitive assumées (arrêts du Tribunal fédéral 5A_246/2019 du 9 juin 2020 consid. 5.1; 5A_405/2019 du 24 février 2020 consid. 5.2; 5A_751/2008 du 31 mars 2009 consid. 3.1).</w:t>
      </w:r>
    </w:p>
    <w:p>
      <w:r>
        <w:rPr>
          <w:b/>
        </w:rPr>
        <w:t>E. 3.2.1</w:t>
      </w:r>
    </w:p>
    <w:p>
      <w:r>
        <w:t>En l'espèce, c'est à juste titre que le Tribunal a pris en compte le revenu réalisé par l'intimé en tant que salarié de E______ SA en 2019 (comprenant les frais de représentation et le bonus, ce qui n'est pas contesté par l'intimé), lequel avait augmenté par rapport à 2018. En revanche, il apparaît que le dividende que l'époux a perçu en 2019 de L______ SA concernait trois années : il représente donc 3'315 fr. par an, étant souligné que dans sa demande en divorce, l'intimé admettait qu'il continuerait à percevoir des dividendes après 2019. Enfin, le compte courant actionnaire de l'intimé auprès de E______ SA ne démontre pas que celui-ci percevrait des revenus occultes, les déclarations d'impôts, sur lesquelles s'est fondé le premier juge, faisant foi. Ainsi, le revenu mensuel net de l'époux est, au stade de la vraisemblance, de 27'490 fr. (293'564 fr. + 21'000 fr. + 12'000 fr. + 3'315 fr., soit 329'879 fr. : 12). Les pièces produites par l'intimé rendent vraisemblable la réalité de l'emploi exercé par l'appelante au sein de E______ SA, la brève déclaration faite par l'époux au Ministère public le 22 août 2017 ne permettant pas de mettre en doute cette constatation (ci-dessus, EN FAIT, let. D h.a). Il résulte d'un examen sommaire du droit que, si elle avait effectué les démarches qui lui incombaient auprès de l'assurance-chômage, l'appelante toucherait depuis mars 2020 des indemnités représentant le 80% de son dernier salaire (cf. art. 22 LACI), soit environ 2'100 fr. (80% de 2'630 fr.). Contrairement à ce qu'a retenu le Tribunal, l'art. 31 al. 3 let. c LACI ne fait pas obstacle au versement des indemnités de chômage à l'épouse, dans la mesure où il n'est pas contesté que celle-ci n'avait aucun pouvoir décisionnel dans la société et que, du fait de la séparation, elle a</w:t>
      </w:r>
    </w:p>
    <w:p>
      <w:r>
        <w:t>- 17/22 -</w:t>
      </w:r>
    </w:p>
    <w:p>
      <w:r>
        <w:t>C/18864/2019 rompu définitivement tout lien avec celle-ci. Il y a donc lieu d'imputer à l'épouse un revenu hypothétique de 2'100 fr. Il n'est ainsi pas nécessaire d'examiner à ce stade si l'état de santé de l'appelante lui permet de reprendre une activité lucrative.</w:t>
      </w:r>
    </w:p>
    <w:p>
      <w:r>
        <w:rPr>
          <w:b/>
        </w:rPr>
        <w:t>E. 3.2.2</w:t>
      </w:r>
    </w:p>
    <w:p>
      <w:r>
        <w:t>Compte tenu de la situation financière favorable des époux, l'amortissement de la dette hypothécaire incombant à l'intimé, d'une part, et les frais d'utilisation du véhicule par l'appelante (dont le total n'est pas contesté), d'autre part, peuvent être intégrés dans les charges familiales. Il y a lieu de noter que c'est d'entente entre les parties que la jouissance du véhicule en question a été attribuée à l'épouse par le juge des mesures protectrices. Vu que les parties exercent une garde alternée sur leur fils, la totalité du loyer sera intégrée dans les charges de la mère et la part de 720 fr. (20% de 3'600 fr.) sera exclue de celles de l'enfant. Les frais médicaux non couverts de l'appelante, en 213 fr. par mois, résultent de sa déclaration fiscale 2019; le montant allégué a donc été à juste titre pris en compte par le Tribunal au stade de la vraisemblance. Les frais médicaux non couverts de l'intimé seront retenus à concurrence de 191 fr. 40 (cf. ci-dessus, EN FAIT, let. D. d); par ailleurs, l'époux ne rend pas vraisemblable le caractère régulier des frais dentaires qu'il allègue (cf. ibidem). C'est donc à bon droit que le premier juge les a exclus de son budget. Enfin, les décisions de rappel d'impôts notifiées à l'intimé en décembre 2020 par l'Administration fiscale cantonale ne sont pas définitives. Il ne se justifie donc pas de prendre en compte à ce stade des versements hypothétiques à ladite administration. Il n'est pas contesté que l'intimé a assumé en 2020 un montant important relatif au traitement orthodontique de son fils, en sus des frais médicaux non remboursés de celui-ci. Même si les frais dentaires allégués ne sont pas récurrents, il apparaît que C______ doit être suivi régulièrement par un dentiste. Dans ces conditions, il est équitable de retenir, dans les charges de l'enfant, la somme de 190 fr. résultant de l'attestation de l'assurance-maladie du 12 janvier 2019, somme qui comprend vraisemblablement aussi des frais dentaires.</w:t>
      </w:r>
    </w:p>
    <w:p>
      <w:r>
        <w:rPr>
          <w:b/>
        </w:rPr>
        <w:t>E. 3.2.3</w:t>
      </w:r>
    </w:p>
    <w:p>
      <w:r>
        <w:t>Au vu des considérations qui précèdent, les montants retenus par le Tribunal peuvent être modifiés comme suit : - revenu de l'époux : 27'490 fr., - revenu hypothétique de l'épouse : 2'100 fr., - charges de l'époux : 7'384 fr. 55 + 11 fr. 30 (191 fr. 40 - 180 fr. 10) = 7'396 fr., - charges de l'épouse : 7'634 fr. 05 + 720 fr. (part loyer enfant) = 8'354 fr., comprenant 2'000 fr. d'impôts (estimation), - charges de l'enfant : 3'620 fr. - 720 fr. + 190 fr. = 3'090 fr.</w:t>
      </w:r>
    </w:p>
    <w:p>
      <w:r>
        <w:t>- 18/22 -</w:t>
      </w:r>
    </w:p>
    <w:p>
      <w:r>
        <w:t>C/18864/2019 Les charges mensuelles totales de la famille s'élèvent ainsi à 18'840 fr. (7'396 fr. + 8'354 fr. + 3'090 fr.) pour des revenus totaux de 29'590 fr. (27'490 fr. + 2'100 fr). Par conséquent, le disponible de la famille est de 10'750 fr. (29'590 fr. - 18'840 fr.), soit 5'375 fr. pour chaque époux. Il n'est pas contesté qu'aucune circonstance particulière n'impose de retenir une contribution de prise en charge pour C______, qui a eu 16 ans le 3 août 2020. Selon le calcul rectificatif effectué ci-dessus, la contribution à l'entretien de l'épouse pourrait être fixée à 11'650 fr. (montant arrondi; 8'354 fr. + 5'375 fr. - 2'100 fr.). Il y a cependant lieu d'adapter la charge fiscale de l'appelante au revenu hypothétique qui lui est imputé. Selon la calculette en ligne sur le site de l'Administration fiscale cantonale, les impôts (ICC et IFD) d'un contribuable séparé domicilié à I______, avec un enfant "en demi-charge", percevant annuellement 115'800 fr. de contributions d'entretien (11'650 fr. - 2'000 fr. d'impôts x 12) et 25'200 fr. d'indemnités de chômage (2'100 fr. x 12) et assumant des primes d'assurance-maladie de 9'809 fr. (817 fr. 40 x 12) et des frais médicaux non remboursés de 2'557 fr. (213 fr. 08 x 12), peuvent être estimés à 32'400 fr., soit 2'700 fr. par mois. En ajoutant ce dernier montant à la contribution de 9'650 fr., l'on obtient la somme mensuelle de 12'350 fr. arrêtée par le premier juge. La solution du Tribunal se révèle donc équitable, le dies a quo au 1er juillet 2020 n'étant pas contesté. La contribution à l'entretien de l'enfant, fixée à juste titre à 300 fr. par mois dès le 1er juillet 2020 par le premier juge, soit à la moitié de la base mensuelle OP vu la garde alternée exercée, sera également confirmée. Le chiffre 1 du dispositif de l'ordonnance attaquée sera donc entièrement confirmé. 4. L'appelante fait grief au Tribunal de lui avoir refusé la provisio ad litem de 50'000 fr. qu'elle réclame pour la procédure de divorce. 4.1 D'après la jurisprudence,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arrêts du Tribunal fédéral 5A_808/2016 du 21 mars 2017 consid. 4.1; 5A_784/2008 du 20 novembre 2009 consid. 2). Le fondement de cette prestation - devoir d'assistance (art. 159 al. 3 CC) ou obligation d'entretien (art. 163 CC) - est controversé (arrêts du Tribunal fédéral 5A_62/2011 du 26 juillet 2011 consid. 2.2; 5P_346/2005 du 15 novembre 2015 consid. 4.3 et les références citées, publié in FamPra.ch 2006 p. 892), mais cet aspect n'a pas d'incidence sur les conditions qui président à son octroi. En tout état de cause,</w:t>
      </w:r>
    </w:p>
    <w:p>
      <w:r>
        <w:t>- 19/22 -</w:t>
      </w:r>
    </w:p>
    <w:p>
      <w:r>
        <w:t>C/18864/2019 selon l'art. 163 al. 1 CC, la loi n'institue plus un devoir général d'entretien à la charge du mari (art. 160 al. 2 aCC; ATF 110 II 116 consid. 2a), mais une prise en charge conjointe des besoins de la famille au regard des facultés de chacun des époux (arrêt du Tribunal fédéral 5A_590/2019 du 13 février 2020 consid. 3.3).</w:t>
      </w:r>
    </w:p>
    <w:p>
      <w:r>
        <w:t>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w:t>
      </w:r>
    </w:p>
    <w:p>
      <w:r>
        <w:t>Les contributions d'entretien ayant, en principe, pour but de couvrir les besoins courants des bénéficiaires, et non de servir, comme la provisio ad litem, à assumer les frais de procès en divorce, l'octroi d'une telle provision peut donc être justifié indépendamment du montant de la contribution d'entretien (arrêts du Tribunal fédéral 5A_808/2016 du 21 mars 2017 consid. 4.1 et 5A_372/2015 du 29 septembre 2015 consid. 4.1).</w:t>
      </w:r>
    </w:p>
    <w:p>
      <w:r>
        <w:t>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 101, p. 965; ACJC/1212/2020 du 1er septembre 2020 consid. 3.1.1). 4.2 En l'espèce, la contribution à l'entretien de l'épouse est fixée à 12'350 fr. par mois à compter du 1er juillet 2020. Avec un revenu hypothétique de 2'100 fr. et des charges de 9'050 fr. (8'354 fr. + 700 fr. de supplément d'impôts), l'appelante dispose d'un excédent mensuel de l'ordre de 5'400 fr. par mois. Comme retenu à juste titre par le premier juge, la procédure de divorce ne présente pas de difficultés particulières, la seule question litigieuse étant celle de la contribution à l'entretien de l'épouse. Le montant de 50'000 fr. articulé par l'appelante, lequel n'est d'ailleurs pas justifié (cf. mémoire du 15 juin 2020, p. 53), apparaît ainsi disproportionné par rapport aux frais prévisibles de la procédure au fond. L'excédent précité permet à l'épouse d'assumer d'éventuels frais judiciaires et de rembourser ses frais et honoraires d'avocat dans un délai de quelques mois.</w:t>
      </w:r>
    </w:p>
    <w:p>
      <w:r>
        <w:t>- 20/22 -</w:t>
      </w:r>
    </w:p>
    <w:p>
      <w:r>
        <w:t>C/18864/2019 Les conditions de l'octroi d'une provisio ad litem n'étant pas réalisées, c'est à juste titre que le premier juge l'a refusée à l'appelante. Le chiffre 3 du dispositif de l'ordonnance attaquée sera donc confirmé. 5. L'appelante réclame une provisio ad litem de 10'000 fr. pour la procédure d'appel sur mesures provisionnelles. Par ailleurs, chaque partie conclut à ce que sa partie adverse soit condamnée aux frais judiciaires et aux dépens d'appel.</w:t>
      </w:r>
    </w:p>
    <w:p>
      <w:r>
        <w:t>5.1 Les frais judiciaires des deux appels, comprenant l'émolument de la décision sur effet suspensif et de celle sur provisio ad litem, seront arrêtés à 2'400 fr. (art. 31 et 37 RTFMC) et compensés avec l'avance de frais de 1'000 fr. effectuée par l'intimé, laquelle reste acquise à l'Etat de Genève (art. 111 al. 1 CPC). Au vu de la nature familiale du litige et de son issue, chacune des parties succombant, ces frais seront mis à la charge de chacun des époux par moitié (art. 106 al. 2 et 107 al. 1 let. c CPC). L'appelante sera en conséquence condamnée à verser à l'Etat de Genève, soit pout lui les Services financiers du Pouvoir judiciaire, la somme de 1'200 fr. L'intimé versera 200 fr. aux mêmes Services (art. 111 al. 1 CPC). Pour les mêmes motifs, chaque partie supportera ses propres dépens d'appel (art. 106 al. 2 et 107 al. 1 let. c CPC). 5.2 L'appelante bénéficiant des moyens suffisants pour assumer les frais de judiciaires d'appel mis à sa charge et ses dépens d'appel (cf. arrêt du Tribunal fédéral 5A_590/2019 du 13 février 2020 consid. 3.5), aucune provisio ad litem ne lui est due par son mari pour la présente procédure. L'appelante sera en conséquence déboutée de sa requête de provisio ad litem. * * * * *</w:t>
      </w:r>
    </w:p>
    <w:p>
      <w:r>
        <w:t>- 21/22 -</w:t>
      </w:r>
    </w:p>
    <w:p>
      <w:r>
        <w:t>C/18864/2019</w:t>
      </w:r>
    </w:p>
    <w:p>
      <w:r>
        <w:t>PAR CES MOTIFS, La Chambre civile : A la forme : Déclare recevable l'appel interjeté le 26 novembre 2020 par A______ contre les chiffres 1 et 3 du dispositif de l'ordonnance OTPI/696/2020 rendue le 10 novembre 2020 par le Tribunal de première instance dans la cause C/18864/2019-15. Déclare recevable l'appel interjeté le 26 novembre 2020 par B______ contre le chiffre 1 du même dispositif. Au fond : Confirme l'ordonnance attaquée. Déboute les parties de toutes autres conclusions. Sur les frais : Arrête les frais judiciaires des appels à 2'400 fr., les met à la charge de chacune des parties par moitié et les compense avec l'avance de 1'000 fr. versée par B______, laquelle demeure acquise à l'Etat de Genève. Condamne B______ à verser 200 fr. à l'Etat de Genève, soit pour lui les Services financiers du Pouvoir judiciaire. Condamne A______ à verser 1'200 fr. à l'Etat de Genève, soit pour lui les Services financiers du Pouvoir judiciaire. Dit que chaque partie supporte ses propres dépens d'appel. Siégeant : Monsieur Ivo BUETTI, président; Madame Sylvie DROIN, Madame Nathalie RAPP, juges; Madame Camille LESTEVEN, greffière.</w:t>
      </w:r>
    </w:p>
    <w:p>
      <w:r>
        <w:t>Le président : Ivo BUETTI</w:t>
      </w:r>
    </w:p>
    <w:p>
      <w:r>
        <w:t>La greffière : Camille LESTEVEN</w:t>
      </w:r>
    </w:p>
    <w:p>
      <w:r>
        <w:t>- 22/22 -</w:t>
      </w:r>
    </w:p>
    <w:p>
      <w:r>
        <w:t>C/18864/2019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mars 2020 consid. 5.1; 5A_339/2015 du 18 novembre 2015 consid. 6.2; 5A_778/2012 du 24 janvier 2013 consid. 5.4; 5A_679/2011 du 10 avril 2012 consid. 10.1).</w:t>
      </w:r>
    </w:p>
    <w:p>
      <w:r>
        <w:t>- 15/22 -</w:t>
      </w:r>
    </w:p>
    <w:p>
      <w:r>
        <w:t>C/18864/2019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