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ACJC/174/2019 vom 25. Februar 2019</w:t>
      </w:r>
    </w:p>
    <w:p>
      <w:r>
        <w:t>GE Cour de justice, 2019-02-25, FR</w:t>
      </w:r>
    </w:p>
    <w:p>
      <w:r>
        <w:rPr>
          <w:b/>
        </w:rPr>
        <w:t xml:space="preserve">Quelle: </w:t>
      </w:r>
      <w:r>
        <w:t>https://mcp.opencaselaw.ch/entscheid/ge_gerichte_ACJC_174_2019</w:t>
      </w:r>
    </w:p>
    <w:p>
      <w:r>
        <w:t>FR: GE_GERICHTE ACJC/174/2019 du 25 février 2019</w:t>
      </w:r>
    </w:p>
    <w:p>
      <w:r>
        <w:t>IT: GE_GERICHTE ACJC/174/2019 del 25 febbraio 2019</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 En l'espèce, le litige porte sur une contribution mensuelle d'entretien post-divorce dont le montant capitalisé dépasse 10'000 fr. (art. 92 CPC), de sorte que la voie de l'appel est ouverte.</w:t>
      </w:r>
    </w:p>
    <w:p>
      <w:r>
        <w:rPr>
          <w:b/>
        </w:rPr>
        <w:t>E. 1.2</w:t>
      </w:r>
    </w:p>
    <w:p>
      <w:r>
        <w:t>Formé dans les délais utiles et selon la forme prescrite par la loi (art. 130, 131, 142 al. 1, 145 al. 1 let. b, 308 al. 1 let. a et 311 al. 1 CPC), l'appel est recevable.</w:t>
      </w:r>
    </w:p>
    <w:p>
      <w:r>
        <w:rPr>
          <w:b/>
        </w:rPr>
        <w:t>E. 2</w:t>
      </w:r>
    </w:p>
    <w:p>
      <w:r>
        <w:t>La Cour revoit la cause avec un plein pouvoir d'examen (art. 310 CPC).</w:t>
      </w:r>
    </w:p>
    <w:p>
      <w:r>
        <w:t>- 7/15 -</w:t>
      </w:r>
    </w:p>
    <w:p>
      <w:r>
        <w:t>C/12633/2017</w:t>
      </w:r>
    </w:p>
    <w:p>
      <w:r>
        <w:t>La maxime des débats s'applique à la procédure concernant les contributions d'entretien post-divorce (art. 277 al. 1 CPC).</w:t>
      </w:r>
    </w:p>
    <w:p>
      <w:r>
        <w:rPr>
          <w:b/>
        </w:rPr>
        <w:t>E. 3</w:t>
      </w:r>
    </w:p>
    <w:p>
      <w:r>
        <w:t>L'appelante a versé des pièces nouvelles par-devant la Cour.</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Il faut distinguer les « vrais nova » des « pseudo nova ».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En règle générale, les nova doivent être introduits en appel dans le cadre du premier échange d'écritures (ATF 143 III 42 consid. 4.1 ; 142 III 413 ; arrêts du Tribunal fédéral 4A_508/2016 du 16 juin 2017 consid. 4.a ; 5A_456/2016 du 28 octobre 2016 consid. 4.1.1). Les faits et moyens de preuve nouveaux présentés tardivement doivent être déclarés irrecevables (JEANDIN, Code de procédure civile commenté, BOHNET/ HALDY/JEANDIN/SCHWEIZER/TAPPY [éd.], 2019, n. 3 ad art. 317 CPC).</w:t>
      </w:r>
    </w:p>
    <w:p>
      <w:r>
        <w:rPr>
          <w:b/>
        </w:rPr>
        <w:t>E. 3.2</w:t>
      </w:r>
    </w:p>
    <w:p>
      <w:r>
        <w:t>En l’espèce, la pièce 81 est irrecevable en tant qu’elle couvre les faits remontant aux mois de mars à mai 2018, ceux-ci étant antérieurs au 11 juin 2018, date à laquelle la cause a été gardée à juger par le Tribunal et l'appelante n'explique pas les raisons pour lesquelles elle n'a pas pu produire la pièce avant la procédure d'appel. Il en va de même du certificat médical daté du 15 octobre 2018 (pièce 80) dès lors qu’il ne se rapporte pas à l’évolution de l’état de santé de l’appelante postérieure au prononcé du jugement. En revanche, les pièces nos 76 à 79, 82 et 81 pour la période de juin à septembre 2018 de l’appelante sont postérieures à la date du 11 juin 2018 susmentionnée et sont dès lors recevables.</w:t>
      </w:r>
    </w:p>
    <w:p>
      <w:r>
        <w:t>- 8/15 -</w:t>
      </w:r>
    </w:p>
    <w:p>
      <w:r>
        <w:t>C/12633/2017</w:t>
      </w:r>
    </w:p>
    <w:p>
      <w:r>
        <w:rPr>
          <w:b/>
        </w:rPr>
        <w:t>E. 4</w:t>
      </w:r>
    </w:p>
    <w:p>
      <w:r>
        <w:t>L'appelante conclut, devant la Cour, à la condamnation de l'intimé à lui verser une contribution d'entretien post-divorce de 2'118 fr. 50 jusqu’au 31 mai 2018, 2'343 fr. 50 jusqu’au 31 janvier 2020 et 3'143 fr. 50 dès le 1er février 2020, alors qu'elle avait conclu en première instance à un montant mensuel de 2'200 fr. par mois pour une durée indéterminée. Elle justifie cette modification de ses conclusions par le fait qu'elle n’a plus d’emploi depuis août 2018, qu’elle percevra des indemnités de la part de l’assurance-chômage jusqu’en 2020 et qu’elle se retrouvera sans ressources par la suite.</w:t>
      </w:r>
    </w:p>
    <w:p>
      <w:r>
        <w:rPr>
          <w:b/>
        </w:rPr>
        <w:t>E. 4.1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op. cit., n. 10 ad art. 317 CPC).</w:t>
      </w:r>
    </w:p>
    <w:p>
      <w:r>
        <w:rPr>
          <w:b/>
        </w:rPr>
        <w:t>E. 4.2</w:t>
      </w:r>
    </w:p>
    <w:p>
      <w:r>
        <w:t>En l'occurrence, l'appelante a amplifié ses conclusions portant sur le paiement d'une contribution d'entretien post-divorce en appel. Cette modification repose sur le fait que l’appelante a quitté son dernier emploi depuis le prononcé du jugement de divorce, soit un fait nouveau. Ses dernières conclusions sont, en conséquence, recevables.</w:t>
      </w:r>
    </w:p>
    <w:p>
      <w:r>
        <w:rPr>
          <w:b/>
        </w:rPr>
        <w:t>E. 5</w:t>
      </w:r>
    </w:p>
    <w:p>
      <w:r>
        <w:t>Les parties ne contestent pas le principe de l'octroi d'une contribution mensuelle d'entretien post-divorce à l'appelante. En revanche, l’appelante en conteste le montant et la durée fixés par le Tribunal.</w:t>
      </w:r>
    </w:p>
    <w:p>
      <w:r>
        <w:t>5.1.1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 ATF 134 III 577 consid. 4 ; 127 III 136 consid. 3a ; arrêt du Tribunal fédéral 5A_96/2017 du 20 juillet 2017 consid. 5.1). L’art. 125 CC concrétise deux principes : d'une part, celui du «clean break», qui veut que, dans la mesure du possible, chaque conjoint acquière son indépendance économique et subvienne lui-même à ses propres besoins après le divorce; d'autre</w:t>
      </w:r>
    </w:p>
    <w:p>
      <w:r>
        <w:t>- 9/15 -</w:t>
      </w:r>
    </w:p>
    <w:p>
      <w:r>
        <w:t>C/12633/2017 part, celui de la solidarité, qui implique que les époux sont responsables l'un envers l'autre, non seulement des effets que le partage des tâches adopté durant le mariage a pu avoir sur la capacité de gain de l'un d'eux, mais aussi des autres motifs qui empêcheraient celui-ci de pourvoir lui-même à son entretien (Message du Conseil fédéral concernant la révision du code civil suisse du 15 novembre 1995, FF 1996 I 31-32; ATF 129 III 7 consid. 3.1 p. 8, 127 III 136 consid. 2a p. 138 et les références citées).</w:t>
      </w:r>
    </w:p>
    <w:p>
      <w:r>
        <w:t>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 arrêts du Tribunal fédéral 5A_172/2018 du 23 août 2018 consid. 3.2 ; 5A_96/2017 du 20 juillet 2017 consid. 5.1).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134 III 145 consid. 4).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5A_800/2016 du 18 août 2017 consid. 6.3; 5A_128/2016 du 22 août 2016 consid. 5.1.3.2 et les références). 5.1.2 Si le juge doit en principe tenir compte du revenu effectif des parties, le crédirentier peut se voir imputer un revenu hypothétique, pour autant qu'il puisse gagner plus que son revenu effectif en faisant preuve de bonne volonté et en accomplissant l'effort que l'on peut raisonnablement exiger de lui. A moins que le</w:t>
      </w:r>
    </w:p>
    <w:p>
      <w:r>
        <w:t>- 10/15 -</w:t>
      </w:r>
    </w:p>
    <w:p>
      <w:r>
        <w:t>C/12633/2017 conjoint agisse de manière malveillante (ATF 143 III 233 consid. 3.4), l'obtention d'un tel revenu doit donc être effectivement possible (ATF 137 III 102 consid. 4.2.2.2).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128 III 4 consid. 4c/bb).</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du 23 août 2017 consid. 7.1.2.1; 5A_308/2016 du 7 octobre 2016 consid. 4.1).</w:t>
      </w:r>
    </w:p>
    <w:p>
      <w:r>
        <w:t>5.1.3 La loi n'impose pas de mode de calcul particulier pour fixer le montant de la contribution d'entretien de l'époux et les tribunaux jouissent d'un large pouvoir d'appréciation en la matière (art. 4 CC; ATF 134 III 577 consid. 4; arrêt 5A_90/2017 du 24 août 2017 consid. 3.3).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5.1.4 L'art. 125 CC ne fixe pas de limite à la durée de l'entretien post-divorce. Lorsque l'un des conjoints ne parvient plus à pourvoir seul à son entretien convenable après avoir atteint l'âge de la retraite et que le mariage a concrètement influencé sa situation financière, l'autre conjoint doit régulièrement lui verser une contribution d'entretien jusqu'à ce qu'il se trouve lui-même à la retraite. Le fait qu'auparavant, le conjoint créancier d'entretien ait pu, durant une longue période,</w:t>
      </w:r>
    </w:p>
    <w:p>
      <w:r>
        <w:t>- 11/15 -</w:t>
      </w:r>
    </w:p>
    <w:p>
      <w:r>
        <w:t>C/12633/2017 subvenir totalement seul à son entretien convenable, n'a pas pour effet d'interrompre l'obligation d'entretien, dans le sens que celle-ci ne pourrait plus renaître au moment où le crédirentier cesse de percevoir un revenu provenant d'une activité lucrative, si le revenu qu'il acquiert désormais sous forme de rente est considérablement plus faible (ATF 141 III 465 consid. 3.2).</w:t>
      </w:r>
    </w:p>
    <w:p>
      <w:r>
        <w:rPr>
          <w:b/>
        </w:rPr>
        <w:t>E. 5.2</w:t>
      </w:r>
    </w:p>
    <w:p>
      <w:r>
        <w:t>En l’espèce, le mariage a duré 16 ans et deux enfants en sont issus. Le Tribunal a considéré que le mariage avait eu un impact sur la vie de l’appelante dès lors qu’elle n’avait pas travaillé, ou très peu, pendant de nombreuses années pour s’occuper des enfants, ce qui n’est pas contesté en appel. L’appelante, âgée de 47 ans lors de la séparation des parties et qui n’avait jamais travaillé du temps de la vie commune, a pris un emploi à 50% après la séparation du couple. Elle a toutefois dû cesser son activité d’aide-soignante en raison de problèmes de santé, ce qui est attesté par son médecin. On ne peut ainsi pas reprocher à l’appelante d’avoir cessé cette activité. En présence d’un mariage de longue durée, cette atteinte à la santé, intervenue avant le prononcé du divorce, doit être prise en compte et, en raison de la diminution de la capacité de gain qu’elle engendre, ouvre le droit à une contribution d’entretien dont les conditions seront examinées ci-après. Le dossier ne contient aucun certificat médical attestant du fait que l’appelante serait inapte à exercer une activité professionnelle dans un autre domaine qu’aide- soignante. L’appelante admet elle-même être en mesure d’exercer une activité à 50% puisqu’elle s’est inscrite auprès de l’Office cantonal de l’emploi à concurrence de ce taux d’activité. L’évaluation effectuée par un organisme privé quant à la capacité de travail de l’appelante ne peut être prise en considération dès lors que celle-ci a été jugée exclusivement sur une activité de bureau, ce qui ne permet pas de retenir que l’appelante ne puisse pas exercer un autre type d’activité. En revanche, comme l’appelante ne peut plus compter sur sa réinsertion sur le marché du travail comme aide-soignante, il ne peut être exigé d’elle qu’elle retrouve un emploi en cette qualité. L’appelante a indiqué avoir une expérience dans le domaine de la vente. Par conséquent, il peut être exigé de celle-ci qu’elle retrouve, dès le 1er juillet 2019, un emploi sans qualification à 50% dans le domaine de la vente de détail, ce qui lui permettra de réaliser un revenu mensuel brut de l’ordre de 2’000 fr., soit 1'720 fr. net compte tenu de 14% de charges sociales (cf. CCT du commerce de détail Genève ; www.service-cct.ch). Ses charges incompressibles, non contestées en appel, s’élèvent à 3'141 fr. et l’appelante ne fait pas valoir que son entretien convenable impliquerait d’autres charges, se limitant à revendiquer la moitié du solde disponible de l’intimé sans autre justification.</w:t>
      </w:r>
    </w:p>
    <w:p>
      <w:r>
        <w:t>- 12/15 -</w:t>
      </w:r>
    </w:p>
    <w:p>
      <w:r>
        <w:t>C/12633/2017 Compte tenu des indemnités versées par l’assurance-chômage de 1'550 fr. net par mois [(83 fr. 15 x 21,7 jours) – 14% de charges sociales], l’appelante subira un déficit de 1'591 fr. jusqu’au 30 juin 2019 (1'550 fr. – 3'141 fr.). Dès le 1er juillet 2019, il ne sera plus que de 1'421 fr. (1'720 fr. – 3'141 fr.) compte tenu de la reprise d’une activité lucrative à 50%. Dès lors que l’intimé dispose d’un solde mensuel de l’ordre de 3'000 fr. (8'385 fr. - 3'370 fr. – 969 fr. – 900 fr.) après paiement des contributions à l’entretien des enfants, celui-ci sera condamné à verser à l’appelante, à titre de contribution d’entretien post-divorce, 1'600 fr. jusqu’au 30 juin 2019, puis 1'450 fr. du 1er juillet 2019 jusqu’à ce que l’appelante ait atteint l’âge légal de la retraite. Conformément au principe de la solidarité, l’appelante peut prétendre au maintien de son train de vie antérieur au-delà de sa retraite. On ignore à ce jour quelles seront les rentes AVS et de prévoyance professionnelle perçues par l’appelante lorsqu’elle atteindra l’âge légal de la retraite. Toutefois, celles-ci n’atteindront pas la somme totale de 3'141 fr. qui est nécessaire à l’appelante pour assurer son entretien convenable. En effet, le capital de 100'000 fr. que l’appelante a perçu dans le cadre du divorce ne lui permettra pas d’obtenir une rente LPP importante et l’activité professionnelle à temps partiel dans un emploi peu qualifié qu’elle occupera jusqu’à la retraite ne suffira pas à combler son besoin de prévoyance. Au vu de ce qui précède, l’intimé sera condamné à verser à l’appelante la somme de 3'141 fr. sous déduction de la rente AVS et de la rente de deuxième pilier perçues par celle-ci dès qu’elle aura atteint l’âge légal de la retraite. Par conséquent, le chiffre 7 du dispositif du jugement querellé sera annulé et l’intimé sera condamné à verser l’appelante, par mois et d’avance, à titre de contribution à son entretien, 1'600 fr. jusqu’au 30 juin 2019, puis 1'450 fr. jusqu’à ce que l’appelante ait atteint l’âge légal de la retraite, puis la somme de 3'141 fr. sous déduction des rentes AVS et de prévoyance professionnelle perçues par l’appelante dès le jour où elle aura atteint l’âge légal de la retraite.</w:t>
      </w:r>
    </w:p>
    <w:p>
      <w:r>
        <w:rPr>
          <w:b/>
        </w:rPr>
        <w:t>E. 6.1</w:t>
      </w:r>
    </w:p>
    <w:p>
      <w:r>
        <w:t>Si l'instance d'appel statue à nouveau, elle se prononce sur les frais de la première instance (art. 318 al. 3 CPC). Les parties ne critiquent ni la quotité ni la répartition des frais de première instance, lesquelles apparaissent au demeurant conforme au règlement fixant le tarif des frais en matière civile (RTFMC; E 1 05.10). Ces éléments seront donc confirmés, compte tenu de la nature familiale du litige. Il y a toutefois lieu de reformuler le dispositif du jugement en ce sens que ce n’est pas l’Etat de Genève qui se trouve condamné à prendre en charge la moitié des frais judiciaires de première instance, mais bel et bien l’appelante.</w:t>
      </w:r>
    </w:p>
    <w:p>
      <w:r>
        <w:t>- 13/15 -</w:t>
      </w:r>
    </w:p>
    <w:p>
      <w:r>
        <w:t>C/12633/2017</w:t>
      </w:r>
    </w:p>
    <w:p>
      <w:r>
        <w:rPr>
          <w:b/>
        </w:rPr>
        <w:t>E. 6.2</w:t>
      </w:r>
    </w:p>
    <w:p>
      <w:r>
        <w:t>Les frais judiciaires de la procédure d'appel sont fixés à 1’250 fr. (art. 30 et 35 RTFMC). Pour des motifs d'équité liés à la nature et à l'issue du litige, ils seront répartis à parts égales entre les parties (art. 95, 104 al. 1, 105, 106 al. 1 et 107 al. 1 let. c CPC). L’appelante plaidant au bénéfice de l'assistance judiciaire, sa part des frais judiciaires d’appel sera provisoirement laissée à la charge de l'Etat (art. 122 al. 1 let. b et 123 CPC; art. 19 RAJ). L’intimé sera condamné à verser 625 fr. à l’Etat de Genève, soit pour lui les Services financiers du Pouvoir judiciaire. Pour les mêmes motifs, chaque partie supportera ses propres dépens d’appel (art. 107 al. 1 let. c CPC). * * * * *</w:t>
      </w:r>
    </w:p>
    <w:p>
      <w:r>
        <w:t>- 14/15 -</w:t>
      </w:r>
    </w:p>
    <w:p>
      <w:r>
        <w:t>C/12633/2017 PAR CES MOTIFS, La Chambre civile : A la forme : Déclare recevable l'appel interjeté le 28 août 2018 par A______ contre le chiffre 7 du dispositif du jugement JTPI/10101/2018 rendu le 26 juin 2018 par le Tribunal de première instance dans la cause C/12633/2017-5. Au fond : Annule les chiffres 7 et 10 du dispositif de cette décision, et statuant à nouveau sur ces points : Condamne B______ à verser à A______, au titre de contribution à son entretien, par mois et d'avance, 1'600 fr. jusqu’au 30 juin 2019, puis 1'450 fr. jusqu’à ce que A______ aura atteint l’âge légal de la retraite, puis la somme de 3'141 fr. sous déduction des rentes AVS et de prévoyance professionnelle perçues par A______ dès le jour où elle aura atteint l’âge légal de la retraite. Arrête les frais judiciaires de première instance à 1'500 fr. Les répartit à raison de la moitié à la charge de B______ et la moitié à la charge de A______. Les compense à hauteur de 750 fr. avec l’avance fournie par B______. Invite les Services financiers du Pouvoir judiciaire à restituer 750 fr. à B______. Dit que la part des frais judiciaires de première instance mis à la charge de A______ est supportée provisoirement par l'Etat de Genève. Confirme le jugement pour le surplus. Déboute les parties de toutes autres conclusions. Sur les frais : Arrête les frais judiciaires d’appel à 1’250 fr. et les met à la charge des deux parties, pour moitié chacune. Condamne B______ à verser 625 fr. à l'Etat de Genève, soit pour lui les Services financiers du Pouvoir judiciaire.</w:t>
      </w:r>
    </w:p>
    <w:p>
      <w:r>
        <w:t>- 15/15 -</w:t>
      </w:r>
    </w:p>
    <w:p>
      <w:r>
        <w:t>C/12633/2017 Dit que la part des frais judiciaires d’appel mis à la charge de A______ est supportée provisoirement par l'Etat de Genève. Dit que chaque partie supporte ses propres dépens d’appel. Siégeant : Madame Ursula ZEHETBAUER GHAVAMI, présidente; Monsieur Ivo BUETTI et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