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ACJC/1747/2020 vom 16. Dezember 2020</w:t>
      </w:r>
    </w:p>
    <w:p>
      <w:r>
        <w:t>GE Cour de justice, 2020-12-16, FR</w:t>
      </w:r>
    </w:p>
    <w:p>
      <w:r>
        <w:rPr>
          <w:b/>
        </w:rPr>
        <w:t xml:space="preserve">Quelle: </w:t>
      </w:r>
      <w:r>
        <w:t>https://mcp.opencaselaw.ch/entscheid/ge_gerichte_ACJC_1747_2020</w:t>
      </w:r>
    </w:p>
    <w:p>
      <w:r>
        <w:t>FR: GE_GERICHTE ACJC/1747/2020 du 16 décembre 2020</w:t>
      </w:r>
    </w:p>
    <w:p>
      <w:r>
        <w:t>IT: GE_GERICHTE ACJC/1747/2020 del 16 dicembre 2020</w:t>
      </w:r>
    </w:p>
    <w:p>
      <w:pPr>
        <w:pStyle w:val="Heading2"/>
      </w:pPr>
      <w:r>
        <w:t>Erwägungen</w:t>
      </w:r>
    </w:p>
    <w:p>
      <w:r>
        <w:rPr>
          <w:b/>
        </w:rPr>
        <w:t>E. 1.1</w:t>
      </w:r>
    </w:p>
    <w:p>
      <w:r>
        <w:t>Compte tenu de la valeur litigieuse au dernier état des conclusions et du caractère final de la décision entreprise, la voie de l'appel est ouverte à l'encontre de celle-ci (art. 308 al. 1 let. a et al. 2 CPC). L'appelante n'ayant pas interjeté de recours immédiat contre les ordonnances de preuves du 19 janvier 2017 et du 22 juin 2018, la voie de l'appel est également ouverte à leur encontre (JEANDIN, in Code de procédure civile commenté, Commentaire romand, 2ème éd. 2019, n. 23 et 25 ad art. 319 CPC).</w:t>
      </w:r>
    </w:p>
    <w:p>
      <w:r>
        <w:rPr>
          <w:b/>
        </w:rPr>
        <w:t>E. 1.2</w:t>
      </w:r>
    </w:p>
    <w:p>
      <w:r>
        <w:t>L'appel a été interjeté auprès de l'autorité compétente (art. 120 al. 1 let. a LOJ), dans le délai utile de trente jours et selon la forme prescrite par la loi (art. 130, 131, 142 al. 1, 311 CPC). Il est dès lors recevable.</w:t>
      </w:r>
    </w:p>
    <w:p>
      <w:r>
        <w:t>- 18/32 -</w:t>
      </w:r>
    </w:p>
    <w:p>
      <w:r>
        <w:t>C/17342/2015 La procédure ayant été limitée au principe de sa responsabilité, l'intimée fait valoir que la conclusion principale de l'appel, tendant à sa condamnation à verser à l'appelante la somme de 1'070'582 dollars US, avec intérêts à 5% dès le 16 avril 2012, serait irrecevable. Cette question peut toutefois souffrir de rester indécise, l'appel devant de toute manière être rejeté sur le fond (cf. infra consid. 5).</w:t>
      </w:r>
    </w:p>
    <w:p>
      <w:r>
        <w:rPr>
          <w:b/>
        </w:rPr>
        <w:t>E. 1.3</w:t>
      </w:r>
    </w:p>
    <w:p>
      <w:r>
        <w:t>Sont également recevables la réponse de l'intimée ainsi que les réplique et duplique respectives, déposées dans le délai légal, respectivement imparti à cet effet (art. 312 al. 2, 316 al. 1 CPC). La question de la recevabilité des nouveaux allégués et pièces produits dans le cadre de ces écritures sera examinée ci-après (cf. infra consid. 4.2).</w:t>
      </w:r>
    </w:p>
    <w:p>
      <w:r>
        <w:rPr>
          <w:b/>
        </w:rPr>
        <w:t>E. 1.4</w:t>
      </w:r>
    </w:p>
    <w:p>
      <w:r>
        <w:t>Conformément au droit inconditionnel de réplique, les déterminations spontanées déposés en date des 11 et 22 mai 2020 sont recevables en tant que les plaideurs s'y prononcent sur les arguments soulevés par leur partie adverse dans l'écriture précédente (ATF 139 I 189 consid. 3.2; arrêt du Tribunal fédéral 4A_232/2018 du 23 mai 2018 consid. 6).</w:t>
      </w:r>
    </w:p>
    <w:p>
      <w:r>
        <w:rPr>
          <w:b/>
        </w:rPr>
        <w:t>E. 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SJ 2017 I 16; arrêt du Tribunal fédéral 5A_111/2016 du 6 septembre 2016 consid. 5.3).</w:t>
      </w:r>
    </w:p>
    <w:p>
      <w:r>
        <w:rPr>
          <w:b/>
        </w:rPr>
        <w:t>E. 3</w:t>
      </w:r>
    </w:p>
    <w:p>
      <w:r>
        <w:t>L'appelante étant domiciliée à l'étranger, la cause est de nature internationale (art. 1 al. 1 LDIP). Comme le contrat liant les parties prévoit que le for est à Genève et que le droit suisse s'applique aux relations entre la banque suisse et le client, il y a lieu d'admettre que les juridictions genevoises sont compétentes ratione loci (art. 5 al. 1 LDIP) et que le droit suisse est applicable (art. 116 al. 1 et 2 LDIP), ce que les plaideurs, à juste titre, ne contestent pas.</w:t>
      </w:r>
    </w:p>
    <w:p>
      <w:r>
        <w:t>- 19/32 -</w:t>
      </w:r>
    </w:p>
    <w:p>
      <w:r>
        <w:t>C/17342/2015</w:t>
      </w:r>
    </w:p>
    <w:p>
      <w:r>
        <w:rPr>
          <w:b/>
        </w:rPr>
        <w:t>E. 4</w:t>
      </w:r>
    </w:p>
    <w:p>
      <w:r>
        <w:t>Les parties ont allégué des faits nouveaux et produit des pièces nouvelles dans le cadre de la procédure d'appel. Elles ont également formulé des conclusions nouvelles.</w:t>
      </w:r>
    </w:p>
    <w:p>
      <w:r>
        <w:rPr>
          <w:b/>
        </w:rPr>
        <w:t>E. 4.1</w:t>
      </w:r>
    </w:p>
    <w:p>
      <w:r>
        <w:t>La Cour examine d'office la recevabilité des faits et moyens de preuve nouveaux ainsi que des conclusions nouvelles en appel (REETZ/HILBER, Kommentar zur Schweizerischen Zivilprozessordnung, 3ème éd. 2016, n. 26 ad art. 317 CPC).</w:t>
      </w:r>
    </w:p>
    <w:p>
      <w:r>
        <w:rPr>
          <w:b/>
        </w:rPr>
        <w:t>E. 4.1.1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rPr>
          <w:b/>
        </w:rPr>
        <w:t>E. 4.1.2</w:t>
      </w:r>
    </w:p>
    <w:p>
      <w:r>
        <w:t>L'art. 105 al. 2 CPC ne prévoyant pas de fixation d'un délai aux parties pour déposer leur note de frais, ces dernières peuvent être produites jusqu'à la clôture des débats, les conclusions y afférentes pouvant également être chiffrées à ce moment-là (TAPPY, op. cit., n. 8 et 19 ad art. 105 CPC).</w:t>
      </w:r>
    </w:p>
    <w:p>
      <w:r>
        <w:rPr>
          <w:b/>
        </w:rPr>
        <w:t>E. 4.2.1</w:t>
      </w:r>
    </w:p>
    <w:p>
      <w:r>
        <w:t>En l'espèce, l'appelante a allégué, dans sa réplique du 5 mars 2020, qu'elle venait d'avoir connaissance du jugement JTPI/1187/2020 rendu le 23 janvier 2020 par le Tribunal de première instance dans une cause opposant l'intimée à un client du desk turc (C/3______/2011). Selon elle, ce jugement révélait des faits nouveaux pertinents pour la résolution du litige, en relation avec l'exécution d'opérations "Forex" non autorisées à large échelle au sein de la Banque. L'intimée fait valoir, pour sa part, que les problèmes au sein du desk turc de la Banque avaient déjà été révélés par un arrêt ACJC/56/2019 rendu le 15 janvier 2019 dans la cause C/4______/2011. Les faits allégués par l'intimée ne</w:t>
      </w:r>
    </w:p>
    <w:p>
      <w:r>
        <w:t>- 20/32 -</w:t>
      </w:r>
    </w:p>
    <w:p>
      <w:r>
        <w:t>C/17342/2015 seraient dès lors pas recevables, faute de remplir les conditions de l'art. 317 al. 1 CPC. En l'occurrence, la question de savoir si les faits révélés par le jugement JTPI/1187/2020 du 23 janvier 2020 constituent - comme le soutient l'intimée - de faux nova, au motif qu'ils résultaient déjà de l'arrêt ACJC/56/2019 du 15 janvier 2019, et s'ils doivent, pour cette raison, être déclarés irrecevables, peut souffrir de rester indécise. En effet, la question de savoir si les opérations "Forex" dont se plaint l'appelante ont été autorisées ou non n'a pas à être tranchée dans le cadre du présent arrêt. Comme il sera exposé ci-après, l'appelante n'a en effet pas contesté les opérations litigieuses dans le délai d'un mois prévu par les conditions générales de la Banque. Elle est par conséquent déchue du droit d'agir en dommages-intérêts à l'encontre de l'intimée, indépendamment du fait que les opérations en question aient été autorisées ou non.</w:t>
      </w:r>
    </w:p>
    <w:p>
      <w:r>
        <w:rPr>
          <w:b/>
        </w:rPr>
        <w:t>E. 4.2.2</w:t>
      </w:r>
    </w:p>
    <w:p>
      <w:r>
        <w:t>L'appelante a déposé, en marge de sa réplique du 5 mars 2020, un chargé de huit pièces. Sous pièces no 1 à 6, elle produit des extraits de pièces qui figurent au dossier de première instance. Ces extraits ne constituent donc pas des pièces nouvelles; ils sont dès lors recevables.</w:t>
      </w:r>
    </w:p>
    <w:p>
      <w:r>
        <w:rPr>
          <w:b/>
        </w:rPr>
        <w:t>E. 4.2.3</w:t>
      </w:r>
    </w:p>
    <w:p>
      <w:r>
        <w:t>Les parties ayant chiffré leurs conclusions sur les dépens et produit leurs listes de frais en marge de leurs réplique et duplique respectives, soit avant la clôture des débats d'appel, ces conclusions et pièces sont recevables.</w:t>
      </w:r>
    </w:p>
    <w:p>
      <w:r>
        <w:rPr>
          <w:b/>
        </w:rPr>
        <w:t>E. 5</w:t>
      </w:r>
    </w:p>
    <w:p>
      <w:r>
        <w:t>mars 2020, cette clause n'avait pas uniquement pour effet de mettre à la charge du client les dommages "découlant d'une réclamation tardive" (réplique, p. 21). Elle impliquait également qu'à défaut d'objection formulée en temps utile, l'opération était réputée ratifiée.</w:t>
      </w:r>
    </w:p>
    <w:p>
      <w:r>
        <w:t>Cela précisé, la question de savoir si le Tribunal pouvait considérer que l'appelante avait ratifié les opérations litigieuses, au motif qu'elle avait reçu sa correspondance bancaire au mois d'août 2008 et au mois de juin 2010, ainsi qu'un bilan de gestion au mois de juin 2010 et un état de compte au mois de janvier 2012 - à l'aide desquels elle pouvait saisir la nature des opérations réalisées sur son compte eu égard à ses connaissances et à son expérience -, mais n'avait pas réagi dans le délai d'un mois prévu par les conditions générales, peut souffrir de rester indécise. Il est en effet admis qu'après avoir - comme elle l'affirme - découvert l'exécution d'opérations "Forex" non autorisées sur son compte E______ au mois de mars</w:t>
      </w:r>
    </w:p>
    <w:p>
      <w:r>
        <w:t>- 26/32 -</w:t>
      </w:r>
    </w:p>
    <w:p>
      <w:r>
        <w:t>C/17342/2015 2012, l'appelante a demandé à l'intimée de lui adresser les relevés de l'intégralité des opérations effectuées sur ce compte depuis 2006. Elle a reçu les relevés depuis 2010 par courrier électronique le 30 mars 2012, puis l'intégralité de la documentation bancaire le 10 avril suivant. Y figuraient notamment les relevés de compte mensuels mentionnant les opérations "Forex" effectuées par C______ sur le compte E______, sans autorisation selon l'appelante, ainsi que les avis détaillés de chacune de ces opérations. Or, l'appelante ne conteste pas qu'elle était, dès cet instant, informée de la commission d'opérations sur devises non autorisées, ainsi que de leur caractère irrégulier; elle ne conteste pas davantage qu'elle était en mesure d'identifier précisément lesdites opérations en consultant la documentation qui lui avait été remise, laquelle faisait état, de manière claire et compréhensible, des opérations en question (cf. En fait, let. C.s). Eu égard à son niveau de formation et à son expérience en matière bancaire - aussi brève fût-elle -, ces informations lui étaient du reste facilement accessibles. La jurisprudence permettant d'exclure la fiction de ratification en vertu des règles sur l'abus de droit ne trouvait dès lors pas application (cf. supra consid. 5.2.3 in fine). L'appelante était par conséquent tenue, en vertu de la clause de réclamation à laquelle elle avait souscrit, de contester ces opérations dans un délai d'un mois, sous peine d'être réputée les avoir ratifiées.</w:t>
      </w:r>
    </w:p>
    <w:p>
      <w:r>
        <w:rPr>
          <w:b/>
        </w:rPr>
        <w:t>E. 5.1</w:t>
      </w:r>
    </w:p>
    <w:p>
      <w:r>
        <w:t>L'appelante fait grief au Tribunal d'avoir considéré qu'elle avait ratifié les opérations "Forex" litigieuses.</w:t>
      </w:r>
    </w:p>
    <w:p>
      <w:r>
        <w:rPr>
          <w:b/>
        </w:rPr>
        <w:t>E. 5.1.1</w:t>
      </w:r>
    </w:p>
    <w:p>
      <w:r>
        <w:t>Elle expose, en substance, n'avoir reçu de documents conservés en banque restante, ni au mois d'août 2008, ni au mois de juin 2010. Les accusés de réception qu'elle avait signés ne mentionnaient en effet pas que ces documents avaient été imprimés, et C______ ne se souvenait pas non plus les lui avoir transmis. La supputation du Tribunal, selon laquelle elle n'aurait pas accepté, au vu de sa formation, de signer des accusés de réception sans voir les documents, ne justifiait en aucun cas de parvenir à une conclusion contraire. La correspondance bancaire qu'elle avait effectivement reçue ne pouvait pas non plus emporter une ratification des opérations litigieuses. Le bilan de gestion du 2 juin 2010 ne faisait ainsi mention d'aucune opération "Forex". L'état de fortune du 12 janvier 2012 ne mentionnait qu'une seule opération sur devises ayant généré un bénéfice de 11'099 dollars US. Ce document ne lui permettait dès lors de comprendre, ni le type d'activités déployées sur le compte E______, ni leur étendue, ni l'ampleur des pertes subies, ce d'autant moins que, dès lors qu'elle avait simplement demandé à consulter le solde de ses comptes, elle ne l'avait pas examiné en détail. En toute hypothèse, la remise de ce relevé ne pouvait emporter</w:t>
      </w:r>
    </w:p>
    <w:p>
      <w:r>
        <w:t>- 21/32 -</w:t>
      </w:r>
    </w:p>
    <w:p>
      <w:r>
        <w:t>C/17342/2015 qu'une ratification de l'opération bénéficiaire dont il faisait mention, et non des centaines d'autres opérations à l'origine du dommage. Ce n'était qu'à la fin du mois de mars 2012 que l'appelante avait ainsi appris l'existence des opérations litigieuses, comme en attestaient les courriels envoyés à cette occasion à C______ et à F______, ainsi que la note de l'entretien téléphonique du 30 mars 2012. La production des enregistrements des entretiens téléphoniques avec la Banque, refusée à tort par le Tribunal, permettait, en tant que de besoin, de démontrer qu'elle avait réellement été surprise par la découverte desdites opérations. En toute hypothèse, il résultait du dossier que l'intimée ne s'était pas conformée à ses obligations d'information résultant de l'art. 11 al. 1 let. a LBVM, ce qui empêchait - selon la jurisprudence récente du Tribunal fédéral - toute ratification des opérations litigieuses.</w:t>
      </w:r>
    </w:p>
    <w:p>
      <w:r>
        <w:rPr>
          <w:b/>
        </w:rPr>
        <w:t>E. 5.1.2</w:t>
      </w:r>
    </w:p>
    <w:p>
      <w:r>
        <w:t>L'intimée expose, dans sa réponse, que l'appelante était tenue, en vertu de son devoir de diligence, de relever sa banque restante et de l'examiner, afin de pouvoir déceler d'éventuelles opérations non autorisées et de contester celles-ci. Or, si elle s'était conformée à cette obligation, elle aurait pu identifier aisément la présence d'opérations autres que des placements fiduciaires et les contester dans le délai de trente jours prévu par les conditions générales de la Banque, ce qu'elle n'avait pas fait. Contrairement à ce qu'avait retenu le Tribunal, l'appelante avait en outre contesté les opérations litigieuses pour la première fois le 31 juillet 2012, et non à la fin du mois de mars 2012 lorsqu'elle avait téléphoné à F______.</w:t>
      </w:r>
    </w:p>
    <w:p>
      <w:r>
        <w:t>S'agissant de la prétendue violation de son devoir d'information, l'intimée expose que l'appelante n'avait pas allégué une telle violation avant la clôture des débats d'instruction de première instance. En tout état de cause, l'appelante avait reçu, lors de l'ouverture du compte, les documents l'informant des risques liés aux opérations sur le marché des changes. Elle n'avait en outre ni allégué, ni établi, ne pas avoir connu les risques liés aux opérations litigieuses. L'existence d'un rapport de causalité entre la violation du devoir d'information de l'intimée et le dommage allégué par l'appelante n'était ainsi pas démontrée.</w:t>
      </w:r>
    </w:p>
    <w:p>
      <w:r>
        <w:rPr>
          <w:b/>
        </w:rPr>
        <w:t>E. 5.1.3</w:t>
      </w:r>
    </w:p>
    <w:p>
      <w:r>
        <w:t>Dans sa réplique du 5 mars 2020, l'appelante expose, sur ces points, qu'elle avait, au mois de mars 2012, contesté le principe même des spéculations sur son compte par courrier électronique et par téléphone. Elle avait ensuite confirmé cette contestation par courrier du 31 juillet 2012. L'intimée ne pouvait dès lors se prévaloir d'une ratification des opérations effectuées. Elle y était d'autant moins fondée que la clause de réclamation contenue dans les conditions générales n'était pas applicable pour couvrir des irrégularités, et qu'elle n'avait pas cherché à rétablir la vérité lorsque C______ avait nié les pertes puis prétendu que celles-ci n'étaient pas définitives.</w:t>
      </w:r>
    </w:p>
    <w:p>
      <w:r>
        <w:t>- 22/32 -</w:t>
      </w:r>
    </w:p>
    <w:p>
      <w:r>
        <w:t>C/17342/2015</w:t>
      </w:r>
    </w:p>
    <w:p>
      <w:r>
        <w:rPr>
          <w:b/>
        </w:rPr>
        <w:t>E. 5.2.1</w:t>
      </w:r>
    </w:p>
    <w:p>
      <w:r>
        <w:t>Selon la jurisprudence, par la clause de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(arrêt du Tribunal fédéral 4A_119/2018 du 7 janvier 2019 consid. 6.1.1 et les arrêts cités).</w:t>
      </w:r>
    </w:p>
    <w:p>
      <w:r>
        <w:t>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(arrêt du Tribunal fédéral 4A_119/2018 précité, ibidem). Le client qui choisit l'option banque restante prend donc un risque, dont il doit supporter les conséquences s'il se réalise (arrêt du Tribunal fédéral 4A_119/2018 précité, ibidem).</w:t>
      </w:r>
    </w:p>
    <w:p>
      <w:r>
        <w:rPr>
          <w:b/>
        </w:rPr>
        <w:t>E. 5.2.2</w:t>
      </w:r>
    </w:p>
    <w:p>
      <w:r>
        <w:t>Les conditions générales des banques prévoient usuellement que toute réclamation relative à une opération doit être formulée par le client dans un certain délai (habituellement un mois) dès la réception de l'avis de transaction ou de l'extrait de compte correspondant, faute de quoi l'opération est réputée acceptée. Le Tribunal fédéral a admis la validité d'une telle clause, qui implique donc qu'à défaut d'objection formulée en temps utile contre une opération effectuée sans instructions, le client est réputé la ratifier (arrêts du Tribunal fédéral 4A_161/2020 du 6 juillet 2020 consid. 5.2.1; 4A_42/2015 du 9 novembre 2015 consid. 5.2; 4A_488/2008 du 15 janvier 2009 consid. 5.1) et perd le droit d'agir en dommages- intérêts (arrêt du Tribunal fédéral 4A_262/2008 du 23 septembre 2008 consid. 2.2 et les références).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 du Tribunal fédéral</w:t>
      </w:r>
    </w:p>
    <w:p>
      <w:r>
        <w:t>- 23/32 -</w:t>
      </w:r>
    </w:p>
    <w:p>
      <w:r>
        <w:t>C/17342/2015 4A_161/2020 précité, ibidem et les références). Cette contestation doit intervenir dans le délai d'un mois, à moins que les circonstances n'exigent une réclamation immédiate (arrêt du Tribunal fédéral 4A_161/2020 précité, consid. 5.4.1).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 du Tribunal fédéral 4A_161/2020 précité, consid. 5.2.1 in fine et les arrêts cités). La clause de réclamation - et sa fiction de ratification - sont applicables aux clients auxquels les communications sont faites en banque restante (arrêt du Tribunal fédéral 4A_119/2018 précité, consid. 6.1.2). La fiction de ratification s'applique non seulement aux opérations que le client découvre, mais également à celles qu'il aurait dû découvrir en y prêtant l'attention que les circonstances permettent d'exiger de lui (arrêts du Tribunal fédéral 4A_161/2020 précité, consid. 5.4.5 in fine; 4A_119/2018 précité, consid. 7.1; 4A_471/2017 du 3 septembre 2018 consid. 4.2.2).</w:t>
      </w:r>
    </w:p>
    <w:p>
      <w:r>
        <w:t>Le client est tenu de formuler sa réclamation de manière claire et inconditionnelle, en mentionnant les opérations qu'il conteste, de sorte que la banque puisse reconnaître de manière univoque les positions du relevé qui sont contestées (WHERLOCK/VON DER CRONE, Anwendung von Genehmingungsklauseln hinsichtlich unautorisierter Börsengeschäfte, Bundesgerichtsurteil 4A_42/2015 vom 9. November 2015, RSDA 1/2016, p. 103; FISCHER, Transactions non autorisées : Effet de la clause de banque restante, commentaire de l'arrêt du Tribunal fédéral 4A_614/2016 du 3 juillet 2017, publié le 3 octobre 2017 par le Centre de droit bancaire et financier (https://cdbf.ch/984)). Il ne saurait en outre, après avoir découvert l'exécution d'opérations non autorisées, attendre que celles-ci engendrent des pertes pour entreprendre de les contester (WHERLOCK/VON DER CRONE, op. cit., p. 106).</w:t>
      </w:r>
    </w:p>
    <w:p>
      <w:r>
        <w:rPr>
          <w:b/>
        </w:rPr>
        <w:t>E. 5.2.3</w:t>
      </w:r>
    </w:p>
    <w:p>
      <w:r>
        <w:t>Si l'application stricte de la clause de banque restante, entraînant fiction de réception, combinée avec la clause de réclamation, emportant fiction de ratification, conduit à des conséquences choquantes, le juge peut exclure ces fictions en se fondant sur les règles de l'abus de droit (art. 2 al. 2 CC; arrêts du Tribunal fédéral 4A_161/2020 précité, consid. 5.4.5; 4A_119/2018 précité, consid. 6.1.3 et les arrêts cités).</w:t>
      </w:r>
    </w:p>
    <w:p>
      <w:r>
        <w:t>Les fictions de réception et de ratification ne sont en effet opposables au client que pour autant que la banque ne commette pas d'abus de droit (art. 2 al. 2 CC). En rapport avec la fiction de réception du courrier, il y a notamment abus de droit lorsque la banque sait que le client n'approuve pas les actes communiqués en banque restante (par exemple lorsqu'elle agit sans instructions dans le cadre d'un</w:t>
      </w:r>
    </w:p>
    <w:p>
      <w:r>
        <w:t>- 24/32 -</w:t>
      </w:r>
    </w:p>
    <w:p>
      <w:r>
        <w:t>C/17342/2015 contrat "execution only" ou de conseil en placements) (arrêts du Tribunal fédéral 4A_161/2020 précité, ibidem; 4A_449/2018 du 25 mars 2019 consid. 7; 4A_119/2018 précité, ibidem; 4A_471/2017 précité consid. 4.2.3). Lorsque l'invocation de la fiction de réception est jugée abusive au motif que la banque s'est écartée intentionnellement des instructions de son client alors que rien ne le laissait prévoir, le client n'est pas réputé avoir pris connaissance des communications de la banque au fur et à mesure de leur dépôt dans son dossier bancaire (arrêt du Tribunal fédéral 4A_471/2017 précité consid. 4.3.1). Dans une telle hypothèse, il faut encore examiner si le client a effectivement reçu la documentation conservée en banque restante - par exemple lors d'une rencontre avec son chargé de relations ou parce que celle-ci a été remise à son représentant - et pouvait, ou devait, se rendre compte de l'irrégularité des opérations non autorisées eu égard aux connaissances dont il disposait (arrêts du Tribunal fédéral 4A_161/2020 2020 précité, ibidem; 4A_471/2017 précité consid. 4.3.2 in initio). Si tel est le cas, le client doit contester les opérations sous peine de se voir opposer la fiction de ratification figurant dans les conditions générales. Dans une telle hypothèse, la jurisprudence qui permet d'exclure la fiction de ratification en vertu des règles sur l'abus de droit ne trouve en effet pas application (arrêt du Tribunal fédéral 4A_161/2020 précité, ibidem; 4A_471/2017 précité, ibidem).</w:t>
      </w:r>
    </w:p>
    <w:p>
      <w:r>
        <w:rPr>
          <w:b/>
        </w:rPr>
        <w:t>E. 5.2.4</w:t>
      </w:r>
    </w:p>
    <w:p>
      <w:r>
        <w:t>Le Tribunal fédéral a cependant retenu, dans un arrêt récent portant sur la survenance de pertes causées par des placements risqués effectués dans le cadre d'un mandat de gestion, que, lorsque la banque viole son devoir d'information en n'informant pas suffisamment le client des risques impliqués par une opération, le client qui ne se plaint qu'après la survenance des pertes ne commet pas un abus de droit car il n'était pas informé des risques. Dans un tel cas de figure, la fiction de ratification n'est d'aucune utilité à la banque "puisque cela ne change rien au manquement à son obligation d'information" (arrêt du Tribunal fédéral 4A_449/2018 du 25 mars 2019 consid. 5.3 commenté par HIRSCH, Gestion de fortune : D'un déficit d'information à un déficit de huit millions, publié le 29 avril 2019 par le Centre de droit bancaire et financier, https://cdbf.ch/1061).</w:t>
      </w:r>
    </w:p>
    <w:p>
      <w:r>
        <w:t>La ratification d'une stratégie de placement par réception des relevés n'est ainsi pas exclue, mais ne doit être admise que dans les cas clairs où elle "est apparente des documents bancaires en fonction de la perception du client". En d'autres termes, seules peuvent être ratifiées les transactions pour lesquelles les informations afférentes apparaissent clairement sur les relevés et dont le client peut saisir la signification eu égard à ses connaissances et son expérience en matière financière (OLLIVIER, commentaire de l'arrêt du Tribunal fédéral 4A_449/2018 du 25 mars 2019, in PJA 2019 p. 1058).</w:t>
      </w:r>
    </w:p>
    <w:p>
      <w:r>
        <w:t>- 25/32 -</w:t>
      </w:r>
    </w:p>
    <w:p>
      <w:r>
        <w:t>C/17342/2015</w:t>
      </w:r>
    </w:p>
    <w:p>
      <w:r>
        <w:t>L'application de cette jurisprudence présuppose de constater l'étendue des connaissances du client, afin de pouvoir déterminer si celui-ci était en mesure d'appréhender la portée des documents remis par la banque. Le degré de diligence qui lui est imposé dans l'examen de ces documents est cependant relativement élevé, étant toutefois précisé "que le « client lambda » ne peut se voir contraint à une diligence aussi accrue que le client professionnel (cf. notamment la distinction prévue à l'art. 4 LSFin)" (HIRSCH, Responsabilité de la banque : La validité des fictions de réception et de ratification, commentaire de l'arrêt du Tribunal fédéral 4A_471/2017 du 3 septembre 2018 publié le 18 octobre 2018 par le Centre de droit bancaire et financier, https://cdbf.ch/1028).</w:t>
      </w:r>
    </w:p>
    <w:p>
      <w:r>
        <w:rPr>
          <w:b/>
        </w:rPr>
        <w:t>E. 5.2.5</w:t>
      </w:r>
    </w:p>
    <w:p>
      <w:r>
        <w:t>Il incombe à la banque d'apporter la preuve que le client a ratifié les opérations qu'elle a effectuées sans instruction de sa part (arrêts du Tribunal fédéral 4A_41/2016 du 20 juin 2016 consid. 3.5; 4A_90/2011 du 22 juin 2011 consid. 2.2.2; 4C.18/2004 du 11 juin 2008 consid. 1.5 et 1.8).</w:t>
      </w:r>
    </w:p>
    <w:p>
      <w:r>
        <w:rPr>
          <w:b/>
        </w:rPr>
        <w:t>E. 5.3.1</w:t>
      </w:r>
    </w:p>
    <w:p>
      <w:r>
        <w:t>En l'espèce, il est admis que l'appelante était liée par une clause de banque restante, selon laquelle les documents conservés selon cette clause étaient considérés comme reçus par le titulaire du compte et que celui-ci en supportait le risque.</w:t>
      </w:r>
    </w:p>
    <w:p>
      <w:r>
        <w:t>Il est également établi que l'appelante était liée par la clause de réclamation figurant dans les conditions générales de la Banque, laquelle prévoyait qu'en l'absence de réclamation du titulaire du compte aux avis bancaires qui lui étaient adressés, les opérations y figurant étaient considérées comme approuvées. Contrairement à ce qu'affirme l'appelante pour la première fois - et donc de manière tardive (ATF 142 III 413 précité consid. 2.2.4) - dans sa réplique du</w:t>
      </w:r>
    </w:p>
    <w:p>
      <w:r>
        <w:rPr>
          <w:b/>
        </w:rPr>
        <w:t>E. 5.3.2</w:t>
      </w:r>
    </w:p>
    <w:p>
      <w:r>
        <w:t>L'appelante ne saurait faire échec à cette incombance au motif que, comme retenu par le Tribunal fédéral dans son arrêt du 25 mars 2019 (cf. supra consid. 5.2.4), la banque qui manque à son devoir d'information ne peut pas se prévaloir de la fiction de ratification résultant de l'absence de réclamation du client. Dans le cadre de l'arrêt susmentionné, le refus de faire application de cette fiction se justifiait par le fait que le client n'avait pas été informé des risques liés aux achats d'options effectués par la banque dans le cadre du mandat de gestion de fortune qu'il lui avait confié; il ne pouvait par conséquent pas entrevoir les conséquences de la stratégie de placement choisie par la banque; il ne commettait ainsi aucun abus de droit en ne contestant les opérations qu'après la survenance des pertes. Le cas d'espèce est différent. L'appelante a en effet appris, au mois de mars 2012, que son ancien chargé de relations avait entrepris des transactions "Forex" sans son autorisation sur son compte E______, et a reçu, dans la foulée, l'intégralité de sa correspondance bancaire. Elle était donc, dès cet instant, en mesure d'identifier les opérations qu'elle n'avait pas autorisées en consultant cette documentation. Elle était en outre en mesure d'estimer l'ampleur des pertes subies, en consultant ses bilans de gestion et ses états de fortune annuels, étant rappelé qu'elle avait été informée de la quotité des pertes en question, comme en atteste le courrier</w:t>
      </w:r>
    </w:p>
    <w:p>
      <w:r>
        <w:t>- 27/32 -</w:t>
      </w:r>
    </w:p>
    <w:p>
      <w:r>
        <w:t>C/17342/2015 électronique envoyé à C______ le 29 mars 2012, dans lequel elle se plaignait d'un préjudice de plus de 937'000 dollars US. Le cas d'espèce ne saurait donc être assimilé à celui jugé le 25 mars 2019 par le Tribunal fédéral, dans lequel le client n'avait pas été avisé des risques des opérations sur options au moment où il avait pu constater leur exécution, et ne pouvait donc pas se rendre compte des pertes qui pourraient en résulter. L'argument de l'appelante, selon lequel elle aurait été trompée par l'affirmation de C______, qui lui aurait indiqué qu'il était possible de remédier aux pertes en laissant la position ouverte (cf. En fait, let. C.gg), ne la dispensait en outre pas de contester les opérations litigieuses. Conformément à la jurisprudence, le client qui constate la commission d'opérations non autorisées est tenu de les contester d'emblée; il ne saurait différer sa réaction en attendant de voir la manière dont évoluera l'opération exécutée sans droit par la banque (cf. supra consid. 5.2.2).</w:t>
      </w:r>
    </w:p>
    <w:p>
      <w:r>
        <w:rPr>
          <w:b/>
        </w:rPr>
        <w:t>E. 5.3.3</w:t>
      </w:r>
    </w:p>
    <w:p>
      <w:r>
        <w:t>Il reste dès lors à examiner si l'appelante a contesté les opérations litigieuses dans le mois qui a suivi la réception de sa documentation bancaire. Le Tribunal a considéré, à cet égard, que l'appelante avait agi tardivement en attendant la fin du mois de mars 2012 pour contester les opérations litigieuses. Celle-ci ne s'était de surcroît pas plainte, dans le courrier électronique adressé à C______ le 29 mars 2012, de l'exécution d'opérations sur le marché des changes, mais de la survenance de pertes qui ne lui avaient pas été signalées; elle n'avait donc pas contesté le recours à ces opérations, de sorte qu'elle était réputée les avoir ratifiées. L'appelante ne critique le raisonnement susmentionné dans aucun passage de son mémoire d'appel. Elle se limite à exposer que, contrairement à ce qu'avait retenu le Tribunal, elle n'avait appris l'existence des opérations litigieuses que dans le courant du mois de mars 2012. Elle ne tente pas de démontrer que le Tribunal aurait retenu à tort qu'elle n'avait pas valablement contesté le recours à ces transactions dans le courrier électronique susmentionné. En l'absence de grief motivé, ce point ne peut pas être réexaminé au stade de l'appel (cf. supra consid. 2). Cela étant, la question de savoir si l'appelante a contesté ou non les opérations litigieuses en temps utile ne peut être limitée à l'examen susmentionné. Le présent arrêt se fonde en effet sur la prémisse que l'appelante a reçu sa documentation bancaire entre le 30 mars et le 10 avril 2012. Le délai d'un mois pour contester les opérations litigieuses n'a par conséquent pas commencé à courir avant cette dernière date, si bien que l'appelante pouvait agir en ce sens jusqu'au 10 mai 2012. En d'autres termes, le fait que l'appelante ne se soit pas opposée auxdites opérations dans le courrier électronique envoyé le 29 mars 2012 à C______ - qui</w:t>
      </w:r>
    </w:p>
    <w:p>
      <w:r>
        <w:t>- 28/32 -</w:t>
      </w:r>
    </w:p>
    <w:p>
      <w:r>
        <w:t>C/17342/2015 ne faisait alors plus partie du personnel de la Banque - ne permettait pas encore de considérer celles-ci comme ratifiées, ainsi que l'a retenu le Tribunal. Ceci précisé, le Tribunal n'a pas constaté, dans le jugement entrepris, que l'appelante aurait contesté les opérations litigieuses entre le 29 mars et le</w:t>
      </w:r>
    </w:p>
    <w:p>
      <w:r>
        <w:rPr>
          <w:b/>
        </w:rPr>
        <w:t>E. 10</w:t>
      </w:r>
    </w:p>
    <w:p>
      <w:r>
        <w:t>avril 2012, de l'exécution de ces transactions et des pertes engendrées par celles-ci. L'intégralité de la documentation bancaire, qui rendait compte de ces opérations, se trouvait en outre en ses mains à cette date, l'appelante indiquant même à F______, dans son courriel du 10 avril 2012, avoir pu examiner ces documents de manière "minutieuse" avec l'aide de tierces personnes ("I have taken a thorough look at them and had a meeting with the people in charge"; cf. En fait let. C.gg). Dans de telles circonstances, le délai d'un mois prévu par les conditions</w:t>
      </w:r>
    </w:p>
    <w:p>
      <w:r>
        <w:t>- 29/32 -</w:t>
      </w:r>
    </w:p>
    <w:p>
      <w:r>
        <w:t>C/17342/2015 générales de la Banque permettait à l'appelante d'analyser la situation et de contester les transactions non autorisées avec la précision requise. L'argument soulevé par l'appelante dans le cadre de la présente procédure, selon lequel elle aurait été induite en erreur par C______ et n'aurait, pour cette raison, pas été en mesure d'agir en temps utile, paraît ainsi formulé pour les seuls besoins de la cause, étant relevé que l'appelante n'a pas soulevé ce problème dans la réclamation adressée le 31 juillet 2012 à l'intimée afin de justifier son retard. Au vu de ce qui précède, le Tribunal a considéré à bon droit que l'appelante n'avait pas contesté les opérations litigieuses en temps utile et que celles-ci devaient par conséquent être considérées comme ratifiées, de sorte que l'intimée ne pouvait être tenue pour responsable du dommage allégué. Il a également rejeté à juste titre les offres de preuve de l'appelante tendant à la production des enregistrements des conversations téléphoniques sur les lignes fixes de la Banque et des country policies concernant le transport de documents bancaires vers le Liban, de telles mesures d'instruction n'étant pas pertinentes pour l'issue du litige. Le jugement entrepris sera dès lors confirmé. 6. 6.1 6.1.1 Les frais - qui comprennent les frais judiciaires et les dépens (art. 95 al. 1 CPC) - sont mis à la charge de la partie qui succombe (art. 106 al. 1 1ère phrase CPC). 6.1.2 Les dépens comprennent, notamment, le défraiement d'un représentant professionnel (art. 95 al. 3 let. b CPC). Le tribunal fixe les dépens selon le tarif fixé par le canton. Les parties peuvent produire une note de frais (art. 105 al. 2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(84 RTFMC). Pour les affaires pécuniaires, le défraiement prend pour base le tarif prévu; sans préjudice de l'art. 23 LaCC, il peut s'en écarter de plus ou moins 10% pour tenir compte des éléments rappelés à l'art. 84 RTFMC (art. 85 al. 1 RTFMC). Lorsque la valeur litigieuse se situe entre 600'000 fr. et 1'000'000 fr., les dépens s'élèvent à 25'400 fr. plus 1,5% de la valeur litigieuse dépassant 600'000 fr., plus ou moins 10% (art. 85 RTFMC). Au montant du tarif s'ajoutent les débours en 3% et la TVA (art. 25 et 26 LaCC).</w:t>
      </w:r>
    </w:p>
    <w:p>
      <w:r>
        <w:t>- 30/32 -</w:t>
      </w:r>
    </w:p>
    <w:p>
      <w:r>
        <w:t>C/17342/2015 Dans les procédures d'appel et de recours, le défraiement est réduit, dans la règle, d'un à deux tiers par rapport au tarif de l'article 85 (art. 90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Les dépens doivent en principe couvrir l'entier des frais d'avocat effectivement consentis et conformes aux règles habituelles en la matière, et non une simple participation à ceux-ci (TAPPY, op. cit., n. 29-30 ad art. 95 CPC).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6.2 6.2.1 En l'espèce, les frais judiciaires d'appel seront arrêtés à 20'000 fr. (art. 5, 17, 21 et 35 RTFMC) et mis à la charge de l'appelante, qui succombe. Ils seront compensés avec l'avance du même montant versée par l'appelante, qui reste acquise à l'Etat de Genève (art. 111 al. 1 CPC). 6.2.2 L'intimée a en outre conclu à la condamnation de l'appelante à lui verser 58'809 fr. 60 de dépens pour la procédure d'appel. Elle a produit une première note d'honoraires pour la période du 1er janvier au 29 février 2020 faisant état de 62,2 heures d'activité à 450 fr./heure, ainsi qu'une seconde note d'honoraires pour la période du 1er mars au 28 avril 2020, faisant état de 60,2 heures d'activité à 450 fr./heure. Elle a exposé que l'appelante avait présenté de nouveaux allégués et de nouveaux moyens dans sa réplique, en partie incomplets ou trompeurs. Ce procédé empreint de mauvaise foi et de témérité avait engendré un surcroît d'activité considérable pour rédiger la duplique. Il était dès lors justifié de s'écarter des principes de calcul établis par les art. 85 et 90 RTFMC. En l'occurrence, les dépens réclamés par l'intimée excèdent largement le montant maximal résultant de l'application du RTFMC, soit 24'896 fr. (valeur litigieuse : 1'070'582 dollars US au 6 décembre 2019 soit 967'569 fr.; dépens selon l'art. 85 al. 1 RTFMC : 30'914 fr.; majoration de 10% selon l'art. 85 al. 1 RTFMC : 34'005 fr.; ajout de 3% de débours : 35'025 fr.; ajout de 7,7% de TVA : 37'722 fr.; réduction d'un tiers selon l'art. 90 RTFMC : 24'896 fr.).</w:t>
      </w:r>
    </w:p>
    <w:p>
      <w:r>
        <w:t>- 31/32 -</w:t>
      </w:r>
    </w:p>
    <w:p>
      <w:r>
        <w:t>C/17342/2015 Or, la cause présentait, certes, une difficulté supérieure à celle d'une affaire ordinaire, de sorte qu'une défense diligente des parties au procès nécessitait une activité importante. Comme le souligne à juste titre l'intimée, l'appelante a en outre fait le choix de rédiger une longue réplique, comportant de nouveaux allégués de fait et de nouveaux moyens de droit. Bien qu'il ne relève ni de la témérité, ni de la mauvaise foi - comme le soutient l'intimée (cf. arrêt du Tribunal fédéral 4A_685/2011 du 24 mai 2012 consid. 6.2) -, ce procédé a contraint l'intimée à déployer un travail important pour élaborer sa duplique, activité qu'il convient d'indemniser. Ces éléments permettent de s'écarter, dans une certaine mesure, du taux prévu par la loi (art. 23 al. 1 LACC). Ils ne sauraient toutefois justifier, ni un nombre d'heures aussi important que celui comptabilisé par le conseil de l'intimée (122,2 heures dont 60 heures pour la duplique), ni un tarif horaire aussi élevé pour l'intégralité des heures en question (450 fr./heure pour une activité déployée essentiellement, soit à raison de 80%, par un avocat- collaborateur). En conséquence, eu égard à la difficulté de la cause, à l'ampleur du travail consenti par le conseil de l'intimée - ayant consisté en l'analyse du jugement entrepris et des écritures de la partie adverse, ainsi qu'en la rédaction d'un mémoire de réponse de 50 pages, d'une duplique de 30 pages et d'une détermination de 5 pages -, et au fait que l'essentiel de l'activité a été accomplie par un avocat-collaborateur, le montant des dépens d'appel sera fixé à 30'000 fr., correspondant à 70 heures d'activité à 380 fr./heure, débours et TVA inclus. L'appelante sera condamnée à verser ce montant en mains de l'intimée (art. 111 al. 2 CPC). * * * * *</w:t>
      </w:r>
    </w:p>
    <w:p>
      <w:r>
        <w:t>- 32/32 -</w:t>
      </w:r>
    </w:p>
    <w:p>
      <w:r>
        <w:t>C/17342/2015 PAR CES MOTIFS, La Chambre civile : A la forme : Déclare recevable l'appel interjeté par A______ le 6 décembre 2019 contre le jugement JTPI/15365/2019 rendu le 1er novembre 2019 par le Tribunal de première instance dans la cause C/17342/2015, ainsi que contre les ordonnances ORTPI/40/2016 du 19 janvier 2017 et ORTPI/505/2018 du 22 juin 2018. Au fond : Confirme le jugement entrepris. Déboute les parties de toutes autres conclusions. Sur les frais d'appel : Arrête les frais judiciaires d'appel à 20'000 fr., les met à la charge de A______ et les compense avec l'avance fournie par la précitée, qui reste acquise à l'Etat de Genève. Condamne A______ à verser 30'000 fr. à B______ SA à titre de dépens d'appel. Siégeant : Madame Ursula ZEHETBAUER GHAVAMI, présidente; Madame Sylvie DROIN, Madame Nathalie RAPP,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