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ACJC/1747/2019 vom 28. November 2019</w:t>
      </w:r>
    </w:p>
    <w:p>
      <w:r>
        <w:t>GE Cour de justice, 2019-11-28, FR</w:t>
      </w:r>
    </w:p>
    <w:p>
      <w:r>
        <w:rPr>
          <w:b/>
        </w:rPr>
        <w:t xml:space="preserve">Quelle: </w:t>
      </w:r>
      <w:r>
        <w:t>https://mcp.opencaselaw.ch/entscheid/ge_gerichte_ACJC_1747_2019</w:t>
      </w:r>
    </w:p>
    <w:p>
      <w:r>
        <w:t>FR: GE_GERICHTE ACJC/1747/2019 du 28 novembre 2019</w:t>
      </w:r>
    </w:p>
    <w:p>
      <w:r>
        <w:t>IT: GE_GERICHTE ACJC/1747/2019 del 28 novembre 2019</w:t>
      </w:r>
    </w:p>
    <w:p>
      <w:pPr>
        <w:pStyle w:val="Heading2"/>
      </w:pPr>
      <w:r>
        <w:t>Erwägungen</w:t>
      </w:r>
    </w:p>
    <w:p>
      <w:r>
        <w:rPr>
          <w:b/>
        </w:rPr>
        <w:t>E. 1</w:t>
      </w:r>
    </w:p>
    <w:p>
      <w:r>
        <w:t>1.1.1 Le CPC ne prévoit aucune voie de droit contre les jugements cantonaux de première instance portant sur des mesures superprovisonnelles (ATF 137 III 417). Selon la jurisprudence, la décision de mesures superprovisionnelles n'est en principe pas une décision de dernière instance cantonale au sens de l'art. 75 al. 1 LTF dès lors que les parties peuvent requérir une décision de mesures provisionnelles ou que le juge doit rendre une ordonnance confirmant, modifiant ou supprimant les mesures superprovisionnelles; la possibilité d'obtenir une décision de mesures provisionnelles qui se substitue au prononcé d'extrême urgence est, en effet, un moyen de droit cantonal avant l'épuisement duquel le recours au Tribunal fédéral est irrecevable. La décision de mesures superprovisionnelles en matière de suspension de la poursuite constitue toutefois une exception à cette règle, car si le juge rejette la requête d'extrême urgence et que la faillite du poursuivi est prononcée, aucune décision de mesures provisionnelles ne pourra se substituer à celle refusant la suspension à titre préprovisoire (arrêt du Tribunal fédéral 5A_473/2012 du 17 août 2012, consid. 1.2.1). Les mêmes considérations s'appliquent pour les recours contre le refus, à titre superprovisoire, de l'inscription d'une hypothèque légale des artisans et entrepreneurs, d'autant qu'à défaut, la prétention est menacée de péremption (ATF 140 III 289; SJ 2013 I 33; STUCKI/PAHUD, Le régime des décisions superprovisionnelles et provisionnelles du Code deprocédure civile, in SJ 2015 II 1 ss). 1.1.2 L'inscription provisoire d'une hypothèque légale des artisans et entrepreneurs doit être non seulement requise mais obtenue - savoir opérée au Registre foncier - au plus tard dans les quatre mois qui suivent l'achèvement des travaux (art. 839 al. 2 CC). Cette disposition institue un délai de péremption qui ne peut être prolongé ou restitué, mais il peut être sauvegardé par l'annotation d'une inscription provisoire selon l'art. 76 al. 3 ORF (ATF 119 II 429).</w:t>
      </w:r>
    </w:p>
    <w:p>
      <w:r>
        <w:rPr>
          <w:b/>
        </w:rPr>
        <w:t>E. 1.2</w:t>
      </w:r>
    </w:p>
    <w:p>
      <w:r>
        <w:t>En l'espèce, il faut admettre l'existence d'un recours contre la décision refusant l'inscription d'hypothèques légales provisoires, car, à défaut, la recourante court le risque de la péremption de son droit, avant que ne soit rendue une décision sur mesures provisoires.</w:t>
      </w:r>
    </w:p>
    <w:p>
      <w:r>
        <w:t>- 5/7 -</w:t>
      </w:r>
    </w:p>
    <w:p>
      <w:r>
        <w:t>C/24781/2019 En effet, la recourante faisant valoir que sa dernière intervention sur les immeubles sur lesquels elle sollicite l'inscription d'une hypothèque légale date du 8 août 2019, le délai pour que l'inscription soit opérée conformément à l'art. 839 al. 2 CC échoit le 8 décembre 2019. Or, le Tribunal a fixé à la partie intimée un délai au 12 décembre 2019 pour se déterminer sur mesures provisionnelles, date à laquelle le droit de la recourante sera périmé. Aux termes de l'art. 321 al. 1 et 2 CPC, le recours, écrit et motivé, doit être introduit auprès de l'instance de recours dans les dix jours à compter de la notification de la décision motivée, pour les décisions prises en procédure sommaire (art. 251 let. a CPC). Interjeté dans la forme et le délai prescrits, le recours est recevable. S'agissant d'un cas d'urgence particulière et l'intimée n'ayant pas été invitée à se déterminer devant le Tribunal (art. 265 al. 1 CPC), il n'y a pas lieu d'inviter la partie intimée à présenter ses observations, quand bien même elle s'est vu notifier l'ordonnance querellée, ce qui ne constitue pas une violation de son droit d'être entendu (ATF 107 III 29 consid. 2 et 3 et arrêt du Tribunal fédéral 5P.334/2006 du 4 septembre 2006 consid. 3 en matière de séquestre).</w:t>
      </w:r>
    </w:p>
    <w:p>
      <w:r>
        <w:rPr>
          <w:b/>
        </w:rPr>
        <w:t>E. 2</w:t>
      </w:r>
    </w:p>
    <w:p>
      <w:r>
        <w:t>La recourante reproche au Tribunal une constatation manifestement inexacte des faits, pour avoir retenu que la carbonatation des bacs fleurs, achevée le 8 août 2019, ne faisait pas partie des travaux convenus sur les immeubles de l'intimée.</w:t>
      </w:r>
    </w:p>
    <w:p>
      <w:r>
        <w:t>2.1.1 Conformément à l'article 961 al. 3 CC, le juge autorise l'inscription provisoire si le droit allégué lui paraît exister; vu la brièveté et l'effet péremptoire du délai de l'article 839 al. 2 CC, l'inscription provisoire d'une hypothèque légale des artisans et entrepreneurs ne peut être refusée que si l'existence du droit à l'inscription définitive du gage immobilier paraît exclue ou hautement invraisemblable. En d'autres termes, à moins que le droit à la constitution de l'hypothèque n'existe clairement pas, le juge qui en est requis doit ordonner l'inscription provisoire (arrêt du Tribunal fédéral 5A_924/2014 du 7 mai 2015 consid. 4.1.2). 2.1.2 La constatation manifestement inexacte des faits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w:t>
      </w:r>
    </w:p>
    <w:p>
      <w:r>
        <w:rPr>
          <w:b/>
        </w:rPr>
        <w:t>E. 2.2</w:t>
      </w:r>
    </w:p>
    <w:p>
      <w:r>
        <w:t>En l'espèce, le grief de la recourante est infondé.</w:t>
      </w:r>
    </w:p>
    <w:p>
      <w:r>
        <w:t>- 6/7 -</w:t>
      </w:r>
    </w:p>
    <w:p>
      <w:r>
        <w:t>C/24781/2019</w:t>
      </w:r>
    </w:p>
    <w:p>
      <w:r>
        <w:t>En effet, avec le Tribunal, la Cour retient que la créance que la partie recourante voudrait voir garantie par l'inscription d'hypothèques légales repose sur les factures des 25 octobre 2018 (en 10'000 fr.), 16 mai 2019 (de 51'808 fr. 55) et 15 octobre 2019 (22'296 fr. 59). Or, la facture du 25 octobre 2018 mentionne qu'elle se rapporte à des travaux "100% réalisés". Celle du 16 mai 2019, concerne des interventions faites entre mai et août 2018. Enfin, celle datée du 15 octobre 2019 fait référence à une intervention de septembre 2018. Pour le surplus, les heures effectuées par les employés de la recourante telles qu'elles ressortent des bons de travail produits ne portent que sur les années 2017 et 2018, à l'exception de deux feuilles dont les dates, comprises entre mars et juillet, n'incluent pas l'année. Il est cependant hautement vraisemblable qu'il s'agit également de l'année 2018. Le dernier procès-verbal de chantier produit est daté du 14 septembre 2018 et mentionne des travaux de retouche et de nettoyage devant être réalisés au 15 septembre 2018. Il résulte des éléments qui précèdent qu'il est hautement invraisemblable que la recourante ait achevé les travaux convenus avec C______ le 8 août 2019 seulement comme elle tente de le soutenir. Le bref courriel rédigé par elle, adressé à cette dernière qui ne mentionne aucune date à cet égard, ne suffit pas à considérer qu'il en serait autrement. Enfin, la facture n° 11______, envoyée à C______ le 16 mai 2019 ne figure pas au dossier, de sorte qu'on ignore ce qu'elle concerne. En tout état, la créance litigieuse correspond aux trois factures mentionnées ci-dessus, à l'exclusion de celle n° 11______, de sorte qu'elle ne saurait être prise en compte pour déterminer la date de fin des travaux. Le recours sera donc rejeté.</w:t>
      </w:r>
    </w:p>
    <w:p>
      <w:r>
        <w:rPr>
          <w:b/>
        </w:rPr>
        <w:t>E. 3</w:t>
      </w:r>
    </w:p>
    <w:p>
      <w:r>
        <w:t>La recourante, qui succombe, sera condamnée aux frais du recours, arrêtés à 1'200 fr. Il n'y a pas lieu à l'allocation de dépens, l'intimée n'ayant pas été invitée à se déterminer. * * * * *</w:t>
      </w:r>
    </w:p>
    <w:p>
      <w:r>
        <w:t>- 7/7 -</w:t>
      </w:r>
    </w:p>
    <w:p>
      <w:r>
        <w:t>C/24781/2019 PAR CES MOTIFS, La Chambre civile : A la forme : Déclare recevable lele recours interjeté le 25 novembre 2019 par A______ SA contre l'ordonnance OTPI/708/2019 rendue le 12 novembre 2019 par le Tribunal de première instance dans la cause C/24781/2019-24 SP. Au fond : Le rejette. Sur les frais : Arrête les frais judiciaires du recours à 1'200 fr. et les met à la charge de A______ SA. Condamne en conséquence A______ SA à verser la somme de 1'200 fr. à l'Etat de Genève, soit pour lui les Services financiers du Pouvoir judiciaire. Dit qu'il n'est pas alloué de dépens. Siégeant : Madame Pauline ERARD, présidente; Monsieur Laurent RIEBEN et Monsieur Ivo BUETTI,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