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ACJC/1747/2016 vom 28. Dezember 2016</w:t>
      </w:r>
    </w:p>
    <w:p>
      <w:r>
        <w:t>GE Cour de justice, 2016-12-28, FR</w:t>
      </w:r>
    </w:p>
    <w:p>
      <w:r>
        <w:rPr>
          <w:b/>
        </w:rPr>
        <w:t xml:space="preserve">Quelle: </w:t>
      </w:r>
      <w:r>
        <w:t>https://mcp.opencaselaw.ch/entscheid/ge_gerichte_ACJC_1747_2016</w:t>
      </w:r>
    </w:p>
    <w:p>
      <w:r>
        <w:t>FR: GE_GERICHTE ACJC/1747/2016 du 28 décembre 2016</w:t>
      </w:r>
    </w:p>
    <w:p>
      <w:r>
        <w:t>IT: GE_GERICHTE ACJC/1747/2016 del 28 dicembre 2016</w:t>
      </w:r>
    </w:p>
    <w:p>
      <w:pPr>
        <w:pStyle w:val="Heading2"/>
      </w:pPr>
      <w:r>
        <w:t>Erwägungen</w:t>
      </w:r>
    </w:p>
    <w:p>
      <w:r>
        <w:rPr>
          <w:b/>
        </w:rPr>
        <w:t>E. 1</w:t>
      </w:r>
    </w:p>
    <w:p>
      <w:r>
        <w:t>1.1.1 L'article 99 al. 1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 Ces conditions sont alternatives. 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le procès implique en effet des dépenses que le défendeur n'a pas choisi d'exposer et dont il est juste qu'il puisse se faire indemniser si la demande dirigée contre lui était infondée (TAPPY, Code de procédure civile commenté, 2011, n. 3 ad art. 99 CPC; SUTER/VON HOLZEN, in Kommentar zur Schweizerischen Zivilprozessordnung (ZPO), SUTTER-SOMM/HASENBÖHLER/LEUENBERGER (éd.), 2ème éd. 2013,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 INFANGER (éd.), 2013, n° 5 ad art. 99 CPC; STERCHI, in Berner Kommentar ZPO, Kommentar zum schweizerischen Privatrecht, 2012, n° 10 ad art. 99 LPC). La procédure sommaire est applicable. Le juge se fondera essentiellement sur les allégations et preuves des parties. S'agissant d'une question de recevabilité (art. 59 al. 2 let. f), le juge pourra cependant établir les faits d'office (TAPPY, op. cit. n. 13 et 15 ad art. 101 CPC). 1.1.2 La condition de l'absence d'un domicile ou d'un siège en Suisse suffit en principe, quelle que puisse être par ailleurs la solvabilité apparente de la partie concernée ou sa nationalité. Le domicile est déterminé d'après le Code civil, en particulier ses art. 23 et 25, sans tenir compte du domicile fictif de l'art. 24 CC (ATF 117 Ia 292, JdT 1992 I 395) (TAPPY, op. cit., n. 17 et 18 ad art. 99 CPC).</w:t>
      </w:r>
    </w:p>
    <w:p>
      <w:r>
        <w:rPr>
          <w:b/>
        </w:rPr>
        <w:t>E. 1.2</w:t>
      </w:r>
    </w:p>
    <w:p>
      <w:r>
        <w:t>Dans le cas d'espèce, l'appelant a indiqué, tant devant le Tribunal que devant la Cour, une adresse sise à ______ (Genève). L'intimé a toutefois</w:t>
      </w:r>
    </w:p>
    <w:p>
      <w:r>
        <w:t>- 4/6 -</w:t>
      </w:r>
    </w:p>
    <w:p>
      <w:r>
        <w:t>C/26002/2012 produit copie d'un courrier de l'Office des poursuites faisant état de l'impossibilité de procéder à la notification d'une poursuite à B______, celui-ci ayant quitté l'adresse mentionnée et aucune autre n'ayant pu être trouvée. Dans sa réponse à la requête de sûretés, l'appelant aurait pu contester les allégations de sa partie adverse et démontrer être domicilié en Suisse. Or, il s'est contenté de s'en rapporter à justice quant au principe du prononcé de sûretés, de sorte qu'il sera retenu que l'appelant n'est effectivement plus domicilié en Suisse et que son domicile actuel est inconnu.</w:t>
      </w:r>
    </w:p>
    <w:p>
      <w:r>
        <w:t>Au vu de ce qui précède, la condition de l'art. 99 al. 1 let. a CPC est remplie et l'appelant sera astreint au versement de sûretés, dont il convient de déterminer le montant.</w:t>
      </w:r>
    </w:p>
    <w:p>
      <w:r>
        <w:rPr>
          <w:b/>
        </w:rPr>
        <w:t>E. 2</w:t>
      </w:r>
    </w:p>
    <w:p>
      <w:r>
        <w:t>2.1 Les sûretés doivent couvrir les dépens présumés de l'instance concernée que le demandeur, ou le recourant, aurait à verser au défendeur, ou à l'intimé, en cas de perte totale du procès; dans le cadre du recours, les sûretés ne sont destinées qu'à la couverture des dépens relatifs à la procédure de recours (arrêt du Tribunal fédéral 4A_26/2013 précité). 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au-delà de 10'000 fr. et jusqu'à 20'000 fr. donne lieu à des dépens de 2'400 fr. plus 15% de la valeur litigieuse dépassant 10'000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 L'art. 23 LaCC prévoit en outre que lorsqu'il y a une disproportion manifeste entre la valeur litigieuse et l'intérêt des parties au procès ou entre le taux applicable selon la loi et le travail effectif de l'avocat, le juge peut fixer un défraiement inférieur ou supérieur aux taux minimum et maximum prévus.</w:t>
      </w:r>
    </w:p>
    <w:p>
      <w:r>
        <w:rPr>
          <w:b/>
        </w:rPr>
        <w:t>E. 2.2</w:t>
      </w:r>
    </w:p>
    <w:p>
      <w:r>
        <w:t>En l'espèce, la valeur litigieuse s'élève à 10'500 fr., de sorte que l'intimé pourrait prétendre, en cas de déboutement de l'appelant de l'entier de ses conclusions, à des dépens maximum de l'ordre de 1'850 fr., sur la base d'une réduction d'un tiers par rapport au tarif de l'art. 85 RTFMC. Le dossier ne présente par ailleurs aucune complexité particulière qui justifierait de faire</w:t>
      </w:r>
    </w:p>
    <w:p>
      <w:r>
        <w:t>- 5/6 -</w:t>
      </w:r>
    </w:p>
    <w:p>
      <w:r>
        <w:t>C/26002/2012 application de l'art. 23 LaCC pour fixer un défraiement supérieur au taux maximum prévu. Au vu de ce qui précède, l'appelant sera astreint au versement de sûretés à hauteur de 1'850 fr.</w:t>
      </w:r>
    </w:p>
    <w:p>
      <w:r>
        <w:rPr>
          <w:b/>
        </w:rPr>
        <w:t>E. 2.3</w:t>
      </w:r>
    </w:p>
    <w:p>
      <w:r>
        <w:t>Les sûretés peuvent être fournies en espèces ou sous forme de garantie d'une banque établie en Suisse ou d'une société d'assurance autorisée à exercer en Suisse (art. 100 al. 1 CPC).</w:t>
      </w:r>
    </w:p>
    <w:p>
      <w:r>
        <w:t>Un délai de trente jours sera imparti à l'appelant pour fournir les sûretés demandées, à compter de la notification de la présente décision (art. 101 al. 1 CPC). Si les sûretés ne devaient pas être versées à l'échéance d'un délai supplémentaire, la Cour n'entrera pas en matière sur l'appel (art. 101 al. 1 et 3 CPC).</w:t>
      </w:r>
    </w:p>
    <w:p>
      <w:r>
        <w:rPr>
          <w:b/>
        </w:rPr>
        <w:t>E. 3</w:t>
      </w:r>
    </w:p>
    <w:p>
      <w:r>
        <w:t>Il sera statué sur les frais et dépens relatifs à la présente décision avec l'arrêt au fond (art. 104 al. 3 CPC). * * * * *</w:t>
      </w:r>
    </w:p>
    <w:p>
      <w:r>
        <w:t>- 6/6 -</w:t>
      </w:r>
    </w:p>
    <w:p>
      <w:r>
        <w:t>C/26002/2012 PAR CES MOTIFS, La Chambre civile : A la forme : Déclare recevable la requête de sûretés formée le 14 septembre 2016 par A______ dans la cause C/26002/2012. Au fond : Condamne B______ à verser aux Services financiers du Pouvoir judiciaire, à titre de sûretés en garantie des dépens d'appel, la somme de 1'850 fr., en espèces ou sous forme de garantie bancaire ou d'une société d'assurance autorisée à exercer en Suisse, dans un délai de 30 jours à compter de la notification de la présente décision. Réserve la suite de la procédure. Dit qu'il sera statué sur les frais et dépens relatifs à la procédure de sûretés avec la décision sur le fond. Siégeant : Monsieur Patrick CHENAUX, président ad interim; Madame Paola CAMPOMAGNANI et Madame Fabienne GEISINGER-MARIETHOZ, juges; Madame Anne-Lise JAQUIER, greffière.</w:t>
      </w:r>
    </w:p>
    <w:p>
      <w:r>
        <w:t>Le président ad interim : Patrick CHENAUX</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