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ACJC/1744/2020 vom 7. Dezember 2020</w:t>
      </w:r>
    </w:p>
    <w:p>
      <w:r>
        <w:t>GE Cour de justice, 2020-12-07, FR</w:t>
      </w:r>
    </w:p>
    <w:p>
      <w:r>
        <w:rPr>
          <w:b/>
        </w:rPr>
        <w:t xml:space="preserve">Quelle: </w:t>
      </w:r>
      <w:r>
        <w:t>https://mcp.opencaselaw.ch/entscheid/ge_gerichte_ACJC_1744_2020</w:t>
      </w:r>
    </w:p>
    <w:p>
      <w:r>
        <w:t>FR: GE_GERICHTE ACJC/1744/2020 du 7 décembre 2020</w:t>
      </w:r>
    </w:p>
    <w:p>
      <w:r>
        <w:t>IT: GE_GERICHTE ACJC/1744/2020 del 7 dicembre 2020</w:t>
      </w:r>
    </w:p>
    <w:p>
      <w:pPr>
        <w:pStyle w:val="Heading2"/>
      </w:pPr>
      <w:r>
        <w:t>Erwägungen</w:t>
      </w:r>
    </w:p>
    <w:p>
      <w:r>
        <w:rPr>
          <w:b/>
        </w:rPr>
        <w:t>E. 1.1</w:t>
      </w:r>
    </w:p>
    <w:p>
      <w:r>
        <w:t>S'agissant d'une procédure de mainlevée de l'opposition formée au commandement de payer,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prévues par la loi, de sorte qu'il est recevable.</w:t>
      </w:r>
    </w:p>
    <w:p>
      <w:r>
        <w:rPr>
          <w:b/>
        </w:rPr>
        <w:t>E. 1.3</w:t>
      </w:r>
    </w:p>
    <w:p>
      <w:r>
        <w:t>Dans le cadre d'un recours, le pouvoir d'examen de la Cour est limité à la violation du droit et à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 recours étant instruit en procédure sommaire, la preuve des faits allégués doit être apportée par titre (art. 254 CPC). Les maximes des débats et de disposition s'appliquent (art. 55 al. 1, 225 lit. a a contrario et 58 al. 1 CPC).</w:t>
      </w:r>
    </w:p>
    <w:p>
      <w:r>
        <w:rPr>
          <w:b/>
        </w:rPr>
        <w:t>E. 2</w:t>
      </w:r>
    </w:p>
    <w:p>
      <w:r>
        <w:t>La recourante produit des pièces nouvelles. 2.1.1 Selon l'art. 326 al. 1 CPC, les conclusions, allégations de faits et preuves nouvelles sont irrecevables.</w:t>
      </w:r>
    </w:p>
    <w:p>
      <w:r>
        <w:t>- 6/12 -</w:t>
      </w:r>
    </w:p>
    <w:p>
      <w:r>
        <w:t>C/26022/2019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(ATF 136 III 123 consid. 4.4.3). En particulier, le créancier poursuivant ne saurait remédier en instance de recours au défaut de preuve sur un fait constitutif du titre de mainlevée (arrêt du Tribunal fédéral 5A_450/2019 du 24 février 2020 consid. 4.2.5).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(arrêt du Tribunal fédéral 5A_904/2015 du 29 septembre 2016 consid. 2.3 et les références citées). Cela vaut aussi pour les vrais novas déterminant la recevabilité du recours, par exemple la pièce nouvelle établissant que l'avocat qui a signé le recours est au bénéfice d'une procuration (HALDY, La maxime éventuelle, les novas, et les voies de droit, in Dix ans de Code de procédure civile, Bâle, 2020, p.213, n. 15). Le recourant qui entend se prévaloir de cette exception doit démontrer en quoi les conditions en sont remplies (arrêt du Tribunal fédéral 5A_904/2015 du 29 septembre 2016 consid. 2.3 et les références citées).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w:t>
      </w:r>
    </w:p>
    <w:p>
      <w:r>
        <w:rPr>
          <w:b/>
        </w:rPr>
        <w:t>E. 2.2</w:t>
      </w:r>
    </w:p>
    <w:p>
      <w:r>
        <w:t>Il s'agit de distinguer les pièces nouvellement produites concernant le fond du litige, des pièces nouvellement produites qui sont d'ordre formel.</w:t>
      </w:r>
    </w:p>
    <w:p>
      <w:r>
        <w:rPr>
          <w:b/>
        </w:rPr>
        <w:t>E. 2.2.1</w:t>
      </w:r>
    </w:p>
    <w:p>
      <w:r>
        <w:t>En l'espèce, les pièces n. 3 à 8 nouvellement produites sont irrecevables ainsi que les allégués de fait s'y rapportant.</w:t>
      </w:r>
    </w:p>
    <w:p>
      <w:r>
        <w:t>- 7/12 -</w:t>
      </w:r>
    </w:p>
    <w:p>
      <w:r>
        <w:t>C/26022/2019</w:t>
      </w:r>
    </w:p>
    <w:p>
      <w:r>
        <w:rPr>
          <w:b/>
        </w:rPr>
        <w:t>E. 2.2.2</w:t>
      </w:r>
    </w:p>
    <w:p>
      <w:r>
        <w:t>En revanche, les pièces n. 9 à 11 attestant des pouvoirs de représentation de la personne ayant signé la procuration faite par A______ en faveur de B______ seront prises en considération. 3. Comme en première instance, l'intimé conteste la validité de la procuration produite par la recourante en faveur de son représentant, faisant valoir qu'il serait impossible de déterminer si la personne ayant signé la procuration au nom de la recourante était autorisée à le faire. Il soutient ainsi que le recours déposé par B______ est irrecevable, faute de capacité de postuler du mandataire. 3.1 Toute personne capable d'ester en justice peut se faire représenter au procès (art. 68 al. 1 CPC). Sont autorisés à représenter les parties à titre professionnel dans les affaires soumises à la procédure sommaire en vertu de l'art. 251 CPC, les représentants professionnels au sens de l'art. 27 LP (art. 68 al. 2 let. c CPC). Le représentant doit justifier de ses pouvoirs par une procuration (art. 68 al. 3 CPC). 3.2 En l'espèce, la recourante justifie des pouvoirs de son représentant par la procuration produite en première instance, versant nouvellement à la présente procédure de recours une délégation de pouvoirs et une planche de spécimen. Le rapprochement de ces documents démontre que la personne ayant signé la procuration du 2 octobre 2019 était habilitée à le faire. Par conséquent, la recourante est valablement représentée dans la présente procédure. Le grief d'irrecevabilité du recours soulevé par l'intimé est donc infondé. 4. La recourante reproche au Tribunal d'avoir retenu que les pièces produites ne constituaient pas un titre de mainlevée. Elle considère qu'elle était liée à D______ SARL par un contrat de prêt qui doit être assimilé à une reconnaissance de dette valant titre de mainlevée. 4.1.1 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w:t>
      </w:r>
    </w:p>
    <w:p>
      <w:r>
        <w:t>- 8/12 -</w:t>
      </w:r>
    </w:p>
    <w:p>
      <w:r>
        <w:t>C/26022/2019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Lorsque le débiteur poursuivi se prévaut du fait que le créancier poursuivant n'a pas exécuté sa prestation, il conteste que le contrat synallagmatique produit revête la qualité de reconnaissance de dette au sens de l'art. 82 LP. Il incombe au créancier de justifier qu'il dispose d'un tel titre (ATF 145 III 20 consid. 4.3.2; arrêts du Tribunal fédéral 5A_450/2019 du 24 février 2018 consid. 3.2; 5A_446/2018 du 25 mars 2019 consid. 5). 4.2.1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(cf. art. 499 al. 3 CO; BECK, Das neue Bürgschaftsrecht - Kommentar, n. 107 ad art. 492 CO; SCYBOZ, Le contrat de garantie et le cautionnement, in Traité de droit privé suisse, tome VII, 2, p. 49). Le cautionnement se caractérise par sa nature accessoire: l'obligation de la caution dépend de l'existence et du contenu de la dette principale (ATF 113 II 434 consid. 2a, ATF 111 II 276 consid. 2b); en outre, le cautionnement ne peut porter que sur une obligation valable (art. 492 al. 2 CO). Le principe de l'accessoriété implique également que la dette principale soit déterminée ou, en tout cas, déterminable dès la conclusion du contrat (ATF 113 II 434 consid. 3c; 120 II 35 consid. 3;46 II 95 consid. 2). 4.2.2 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(ATF 130 III 694 consid. 2.2.2; 127 III 147 consid. 2b; arrêt du Tribunal fédéral 4A_129/2010; 4A_135/2020 du 7 février 2011 consid. 5). Dans le crédit en compte courant, le montant prêté par l'établissement bancaire est variable. Sous réserve de la limite qui lui est fixée, l'emprunteur est autorisé à</w:t>
      </w:r>
    </w:p>
    <w:p>
      <w:r>
        <w:t>- 9/12 -</w:t>
      </w:r>
    </w:p>
    <w:p>
      <w:r>
        <w:t>C/26022/2019 effectuer des prélèvements et à devenir ainsi débiteur de la banque. Les prélèvements et les versements sont comptabilisés en compte courant, de sorte que les prestations réciproques se compensent aussitôt et que l'emprunteur ne demeure débiteur - ou créancier - que du solde. 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l'art. 82 LP (dans ce sens pour les cas où le compte présente un solde passif: cf. ATF 138 III 797 consid. 4.2; 132 III 480 consid. 4.2 et 4.3; 130 III 694 consid. 2.2.1; arrêt du Tribunal fédéral 5A_207/2019 du 24 septembre 2019 consid. 4.2.3 ;5A_477/2011 du 10 octobre 2011 consid. 4.3.3 et les références; 4A_129/2010; 4A_135/2020 précité, ibid). 4.2.3 Le contrat de cautionnement constitue un titre à la mainlevée provisoire contre la caution, si l'existence et l'exigibilité de la créance principale ainsi que les conditions du recours contre la caution sont établies (STAEHELIN, BSK SchKG I, 2ème édition, Bâle, 2010, n. 134 ad art. 82 LP). Outre le contrat de cautionnement signé ou instrumenté en la forme authentique, le créancier doit produire une reconnaissance de la dette principale établie par le débiteur de celle-ci (ABBET/VEUILLET, op. cit., n. 193 ad art. 82 LP). Le contrat de crédit-cadre ne vaut titre de mainlevée que lorsque le versement du crédit est indubitablement établi (ABBET/VEUILLET, op. cit., n. 169 ad. art. 82 LP). 4.2.4 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w:t>
      </w:r>
    </w:p>
    <w:p>
      <w:r>
        <w:t>- 10/12 -</w:t>
      </w:r>
    </w:p>
    <w:p>
      <w:r>
        <w:t>C/26022/2019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rés. in JdT 1993 I 362; CORBOZ, La réception du contrat par le juge, in : Le contrat dans tous ses états, Genève 2004, p. 269). 4.3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(res judicata) quant à l'existence de la créance (ATF 100 III 48 consid. 3; ATF 136 III 583 consid. 2.3; arrêt du Tribunal fédéral 5A_450/2019 du 24 février 2018 consid. 3.1).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La mainlevée de l'opposition, Berne, 2017, n. 106 ad art. 84). 4.4 En l'espèce, il n'est pas contesté que le 9 août 2019, l'intimé s'est engagé en tant que caution solidaire et indivisible de D______ SARL, en lien avec le contrat conclu le 14 août 2019 entre cette dernière et la recourante. La validité du contrat de cautionnement n'est pas remise en cause. En revanche, l'existence de la reconnaissance de la dette principale est contestée par l'intimé. Contrairement à ce que soutient la recourante, le Tribunal n'a pas procédé à une qualification du contrat. Il s'est, à juste titre, borné à constater que cette qualification était discutée par les parties, la recourante plaidant la conclusion d'un contrat de prêt et l'intimée celle d'un contrat de crédit-cadre. Comme rappelé ci- avant, l'interprétation du contrat excède le rôle du juge de la mainlevée, cette question devant être examinée par le juge du fond.</w:t>
      </w:r>
    </w:p>
    <w:p>
      <w:r>
        <w:t>- 11/12 -</w:t>
      </w:r>
    </w:p>
    <w:p>
      <w:r>
        <w:t>C/26022/2019 Par ailleurs, et conformément aux principes rappelés supra, en raison de leurs caractéristiques, les éléments constitutifs de la reconnaissance de dette valant titre de mainlevée ne sont pas identiques lorsque la prestation de mise à disposition d'argent revêt la forme d'un contrat de prêt ou d'un autre contrat de service bancaire, tel le compte-courant. En effet, s'il s'agit d'un contrat de prêt portant sur une somme d'argent déterminée, le contrat vaut reconnaissance de dette pour le capital et les intérêts conventionnels, alors qu'en matière de compte de crédit et de compte-courant - dont le montant du prêt est variable -, seul le dernier bien-trouvé du compte dénoncé au remboursement constitue une reconnaissance de dette à concurrence de son montant, pour autant que le bien-trouvé énonçant le solde ait été signé par le débiteur. Ces constats scellent le sort du recours. C'est dès lors à bon droit que la recourante a été déboutée de ses conclusions en mainlevée provisoire. Il n'est ainsi pas nécessaire de déterminer plus avant si la recourante a fourni sa prestation, comme l'a considéré le premier juge, dès lors que l'intimé n'a ni en première instance, ni dans la présente procédure de recours, fait valoir que la recourante n'avait pas mis à sa disposition les fonds tels que convenus par les parties dans le contrat, ni d'examiner les autres griefs de la recourante. 4.5 Le recours sera dès lors rejeté. 5. Les frais judiciaires du recours seront arrêtés à 2'250 fr. (art. 48 et 61 al. 1 OELP) et compensés avec l'avance versée par la recourante, laquelle reste acquise à l'Etat de Genève (art. 111 al. 1 CPC). Ils seront mis à la charge de la recourante qui succombe (106 al. 1 et 3 CPC). La recourante sera en outre condamnée à verser à l'intimé 3'000 fr., à titre de dépens de seconde instance, débours et TVA compris (art. 85, 89, 90 RTFMC; art. 25 et 26 LaCC). * * * * *</w:t>
      </w:r>
    </w:p>
    <w:p>
      <w:r>
        <w:t>- 12/12 -</w:t>
      </w:r>
    </w:p>
    <w:p>
      <w:r>
        <w:t>C/26022/2019 PAR CES MOTIFS, La Chambre civile : A la forme : Déclare recevable le recours interjeté le 17 juillet 2020 par A______ contre le jugement JTPI/8885/2020 rendu le 6 juillet 2020 par le Tribunal de première instance dans la cause C/26022/2019-25 SML. Au fond : Rejette ce recours. Déboute les parties de toutes autres conclusions. Sur les frais : Condamne A______ aux frais judiciaires du recours, fixés à 2'250 fr., lesquels sont compensés avec l'avance de frais fournie, qui reste acquise à l'Etat de Genève. Condamne A______ à payer à C______ la somme de 3'000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2014 consid. 3, non publié in ATF 140 III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