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ACJC/1744/2016 vom 29. September 2016</w:t>
      </w:r>
    </w:p>
    <w:p>
      <w:r>
        <w:t>GE Cour de justice, 2016-09-29, FR</w:t>
      </w:r>
    </w:p>
    <w:p>
      <w:r>
        <w:rPr>
          <w:b/>
        </w:rPr>
        <w:t xml:space="preserve">Quelle: </w:t>
      </w:r>
      <w:r>
        <w:t>https://mcp.opencaselaw.ch/entscheid/ge_gerichte_ACJC_1744_2016</w:t>
      </w:r>
    </w:p>
    <w:p>
      <w:r>
        <w:t>FR: GE_GERICHTE ACJC/1744/2016 du 29 septembre 2016</w:t>
      </w:r>
    </w:p>
    <w:p>
      <w:r>
        <w:t>IT: GE_GERICHTE ACJC/1744/2016 del 29 settembre 2016</w:t>
      </w:r>
    </w:p>
    <w:p>
      <w:pPr>
        <w:pStyle w:val="Heading2"/>
      </w:pPr>
      <w:r>
        <w:t>Volltext</w:t>
      </w:r>
    </w:p>
    <w:p>
      <w:r>
        <w:t>Le présent arrêt est communiqué aux parties par plis recommandés, au Tribunal de première instance et au Tribunal de protection de l'adulte et de l'enfant le 23.12.2016.</w:t>
      </w:r>
    </w:p>
    <w:p>
      <w:r>
        <w:t>REPUBLIQUE ET</w:t>
      </w:r>
    </w:p>
    <w:p>
      <w:r>
        <w:t>CANTON DE GENEVE POUVOIR JUDICIAIRE C/18416/2015 ACJC/1744/2016 ARRÊT DE LA COUR DE JUSTICE Chambre civile DU JEUDI 22 DECEMBRE 2016</w:t>
      </w:r>
    </w:p>
    <w:p>
      <w:r>
        <w:t>Entre Mineurs A______ et B______, domiciliés ______ (GE), appelants d'un jugement rendu par la 3ème Chambre du Tribunal de première instance de ce canton le 29 septembre 2016, comparant par Me Laura Santonino, avocate, 5, place de la Fusterie, case postale 5422, 1211 Genève 11, en l'étude de laquelle ils font élection de domicile, et Monsieur C______, domicilié ______, intimé, comparant par Me Alain Berger, avocat, 9, boulevard des Philosophes, 1205 Genève, en l'étude duquel il fait élection de domicile. Madame D______, domiciliée ______ (GE), intimée, comparant en personne.</w:t>
      </w:r>
    </w:p>
    <w:p>
      <w:r>
        <w:t>- 2/4 -</w:t>
      </w:r>
    </w:p>
    <w:p>
      <w:r>
        <w:t>C/18416/2015 Attendu, EN FAIT, que par jugement du 29 septembre 2016, le Tribunal de première instance a restreint l'autorité parentale de D______ en ce qui concerne le droit de déterminer le lieu de résidence et de scolarisation des enfants B______, né le ______ 2005, et A______, né le ______ 2007 (ch. 1 du dispositif), donné acte à C______ de son accord à ce que les enfants A______ et B______ poursuivent leur scolarité 2016/2017, en internat, au sein de l'établissement scolaire E______, à ______ (BE), l'ordonnant en tant que de besoin (ch. 2), ordonné la mise en place de curatelles d'assistance éducative et d'organisation et de suivi des relations personnelles et transmis son jugement au Tribunal de protection de l'adulte et de l'enfant en vue de la nomination d'un curateur à ces fins (ch. 3), condamné C______ et D______ à prendre en charge, pour moitié chacun, les frais des curatelles d'assistance éducative et d'organisation et de suivi des relations personnelles (ch. 4), attribué à C______ la garde sur les enfants A______ et B______ (ch. 5), réservé à D______ un droit de visite à exercer en accord avec le curateur des enfants ou, à défaut, à raison d'un samedi par semaine de 09h00 à 18h00 en présence d'un tiers de confiance agréé par le curateur des enfants, avec au besoin échange des enfants dans un Point Rencontre (ch. 6), donné acte à C______ de son accord à prendre en charge la totalité des frais courants et extraordinaires d'entretien des enfants A______ et B______, en particulier leurs frais d'écolage au sein de l'établissement scolaire E______, l'y condamnant en tant que de besoin (ch. 7), condamné C______ à verser à D______, par mois et d'avance, la somme de 15'000 fr. à titre de contribution d'entretien (ch. 8), levé la curatelle de représentation des enfants A______ et B______ à la procédure, et libéré la curatrice concernée du mandat afférent (ch. 9), statué sur les frais (ch. 10 et 11) et condamné C______ et D______ à respecter les dispositions du jugement (ch. 12); Vu l'appel, expédié à la Cour le 31 octobre 2016 et réceptionné le 2 novembre 2016, formé contre ce jugement par A______ et B______ aux termes duquel ils concluent, notamment, préalablement, à ce qu'une expertise familiale soit mise en œuvre et, principalement, à l'annulation du ch. 10 du dispositif du jugement attaqué et, cela fait, à ce que l'autorité parentale de D______ soit restreinte en ce qui concerne leur suivi psychologique, soit le droit de décider du choix du thérapeute et de la fréquence du suivi, et à ce qu'il soit donné acte à C______ de son accord qu'ils poursuivent leur suivi thérapeutique avec F______; Attendu qu'ils ont conclu, préalablement, à la restitution de l'effet suspensif à leur appel concernant le ch. 9 du dispositif du jugement attaqué; Qu'ils font valoir à cet égard qu'il est indispensable que leur curatrice de représentation puisse participer à la procédure de seconde instance, ce d'autant que la situation est très conflictuelle entre les parents; Qu'invité à se déterminer à cet égard, C______ a conclu à l'admission de cette requête, qui était conforme à l'intérêt des enfants, se réservant le droit de solliciter le cas échéant la désignation d'un nouveau curateur;</w:t>
      </w:r>
    </w:p>
    <w:p>
      <w:r>
        <w:t>- 3/4 -</w:t>
      </w:r>
    </w:p>
    <w:p>
      <w:r>
        <w:t>C/18416/2015 Que D______ s'est opposée à la requête d'effet suspensif au vu de la relation conflictuelle qu'elle entretient avec la curatrice des enfants;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Qu'elle dispose d'un large pouvoir d'appréciation permettant de tenir compte des circonstances concrètes du cas d'espèce (ATF 137 III 475 consid. 4.1 p. 478; 5A_403/2015 du 28 août 2015 consid. 5); Qu'en l'espèce, il apparaît contraire à l'intérêt des enfants de ne pas être représentés par un curateur dans le cadre de la présente procédure; Qu'il sera dès lors fait droit à la requête tendant à la suspension du caractère exécutoire du ch. 9 du dispositif du jugement attaqué; Que la présente décision ne préjuge pas du sort d'une requête qui tendrait à la désignation d'un autre curateur que celui qui représentait les enfants devant le Tribunal; Que la question des frais sera tranchée avec la décision sur le fond (art. 104 al 3 CPC). * * * * * *</w:t>
      </w:r>
    </w:p>
    <w:p>
      <w:r>
        <w:t>- 4/4 -</w:t>
      </w:r>
    </w:p>
    <w:p>
      <w:r>
        <w:t>C/18416/2015 PAR CES MOTIFS, La Chambre civile : Statuant sur requête de suspension de l'effet exécutoire du jugement entrepris : Admet la requête formée par A______ et B______ tendant à suspendre le caractère exécutoire du ch. 9 du dispositif du jugement JTPI/12270/2016 rendu le 29 septembre 2016 par le Tribunal de première instance dans la cause C/18416/2015-3.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