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ACJC/1743/2016 vom 10. Januar 2017</w:t>
      </w:r>
    </w:p>
    <w:p>
      <w:r>
        <w:t>GE Cour de justice, 2017-01-10, FR</w:t>
      </w:r>
    </w:p>
    <w:p>
      <w:r>
        <w:rPr>
          <w:b/>
        </w:rPr>
        <w:t xml:space="preserve">Quelle: </w:t>
      </w:r>
      <w:r>
        <w:t>https://mcp.opencaselaw.ch/entscheid/ge_gerichte_ACJC_1743_2016</w:t>
      </w:r>
    </w:p>
    <w:p>
      <w:r>
        <w:t>FR: GE_GERICHTE ACJC/1743/2016 du 10 janvier 2017</w:t>
      </w:r>
    </w:p>
    <w:p>
      <w:r>
        <w:t>IT: GE_GERICHTE ACJC/1743/2016 del 10 gennaio 2017</w:t>
      </w:r>
    </w:p>
    <w:p>
      <w:pPr>
        <w:pStyle w:val="Heading2"/>
      </w:pPr>
      <w:r>
        <w:t>Erwägungen</w:t>
      </w:r>
    </w:p>
    <w:p>
      <w:r>
        <w:rPr>
          <w:b/>
        </w:rPr>
        <w:t>E. 1.1</w:t>
      </w:r>
    </w:p>
    <w:p>
      <w:r>
        <w:t>L'appel, écrit et motivé, est introduit auprès de l'instance d'appel dans les 30 jours à compter de la notification de la décision finale motivée (art. 308 al. 1 let. a et 311 al. 1 CPC) lorsque la valeur litigieuse au dernier état des conclusions atteint 10'000 fr. au moins (art. 308 al. 2 CPC). L'appel joint est formé dans la réponse à l'appel principal (art. 313 al. 1 CPC). En l'occurrence, la valeur litigieuse s'élève à plus de 10'000 fr., de sorte que la voie de l'appel est ouverte. Déposés dans les délais et forme prescrits par la loi (art. 142 al. 1, 145 al. 1 let. a, 311 al. 1, 312 al. 2 et 313 al. 1 CPC), l'appel et l'appel joint sont recevables.</w:t>
      </w:r>
    </w:p>
    <w:p>
      <w:r>
        <w:rPr>
          <w:b/>
        </w:rPr>
        <w:t>E. 1.2</w:t>
      </w:r>
    </w:p>
    <w:p>
      <w:r>
        <w:t>Par souci de simplification, A______ sera désigné ci-après comme l'appelant et B______ comme l'intimé.</w:t>
      </w:r>
    </w:p>
    <w:p>
      <w:r>
        <w:rPr>
          <w:b/>
        </w:rPr>
        <w:t>E. 1.3</w:t>
      </w:r>
    </w:p>
    <w:p>
      <w:r>
        <w:t>La Cour revoit la cause en fait et en droit avec un plein pouvoir d'examen, dans les limites posées par les maximes des débats et de disposition applicables au présent litige (art. 55 al. 1, 58 al.1 et 310 CPC).</w:t>
      </w:r>
    </w:p>
    <w:p>
      <w:r>
        <w:rPr>
          <w:b/>
        </w:rPr>
        <w:t>E. 2</w:t>
      </w:r>
    </w:p>
    <w:p>
      <w:r>
        <w:t>Les parties produisent des pièces nouvelles en appel et l'appelant articule des faits nouveaux selon l'intimé.</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présentés tardivement doivent être déclarés irrecevables (JEANDIN, in CPC, Code de procédure civile commenté, 2011, n. 3 ad art. 317 CPC).</w:t>
      </w:r>
    </w:p>
    <w:p>
      <w:r>
        <w:rPr>
          <w:b/>
        </w:rPr>
        <w:t>E. 2.2</w:t>
      </w:r>
    </w:p>
    <w:p>
      <w:r>
        <w:t>En l'espèce, l'appelant allègue que le dommage en lien avec la non-remise de la documentation de l'ouvrage ne se limite pas à la gêne qui peut résulter dans le suivi quotidien par la régie mais dans celle qui résulte des opérations d'entretien à long terme, lorsqu'il faudra accéder et remettre en état des installations affectées</w:t>
      </w:r>
    </w:p>
    <w:p>
      <w:r>
        <w:t>- 14/26 -</w:t>
      </w:r>
    </w:p>
    <w:p>
      <w:r>
        <w:t>C/14169/2011 par le temps. Or, contrairement à ce que soutient l'intimé, il ne s'agit pas d'un allégué nouveau. L'appelant avait en effet allégué en première instance que cette documentation était indispensable à l'exploitation de l'immeuble et à la sécurité de celui-ci. Les opérations d'entretien mentionnées en appel ne sont que des exemples des opérations d'exploitation de l'immeuble, de sorte que cet allégué est recevable. L'appelant produit également une pièce nouvelle, à savoir un devis daté du 23 avril 2012. Au vu de sa date, cette pièce aurait pu être produite en première instance. Dans la mesure où l'appelant n'expose pas les raisons pour lesquelles il aurait été dans l'impossibilité de le faire, cette pièce est irrecevable. L'intimé produit deux pièces nouvelles. La première est constituée d'un tableau de calcul des honoraires de l'intimé au 1er janvier 2010, qui aurait pu être produit devant l'autorité précédente, de sorte qu'elle est irrecevable. S'agissant de la seconde pièce, à savoir les notes d'honoraires du conseil de l'intimé, elle est partiellement irrecevable en tant qu'elle concerne les honoraires afférents à la procédure de première instance, dans la mesure où ceux-ci auraient pu être produit devant l'autorité précédente en dépit de la date figurant sur la note d'honoraires, et partiellement recevable en tant qu'elle a trait aux honoraires assumés par l'intimé pour sa défense dans la procédure d'appel.</w:t>
      </w:r>
    </w:p>
    <w:p>
      <w:r>
        <w:rPr>
          <w:b/>
        </w:rPr>
        <w:t>E. 3</w:t>
      </w:r>
    </w:p>
    <w:p>
      <w:r>
        <w:t>L'appelant reproche au Tribunal d'avoir considéré qu'il avait accepté en connaissance de cause de rémunérer l'intimé pour des prestations que celui-ci n'avait pas à fournir et que l'intimé avait démontré avoir effectué toutes les prestations facturées. Or, il n'aurait consenti à couvrir l'architecte pour son activité que dans l'hypothèse où celle-ci était accomplie, de sorte que les honoraires devaient être réduits.</w:t>
      </w:r>
    </w:p>
    <w:p>
      <w:r>
        <w:rPr>
          <w:b/>
        </w:rPr>
        <w:t>E. 3.1</w:t>
      </w:r>
    </w:p>
    <w:p>
      <w:r>
        <w:t>Il est admis, à juste titre, par les parties que les règles du mandat régissent la relation contractuelle des parties, de même que l'intégration de la norme SIA 102 de 2003 à celle-ci. Les prétentions des parties doivent dès lors être examinées à la lumière des art. 394 ss CO et de la norme SIA 102-2003.</w:t>
      </w:r>
    </w:p>
    <w:p>
      <w:r>
        <w:rPr>
          <w:b/>
        </w:rPr>
        <w:t>E. 3.1.1</w:t>
      </w:r>
    </w:p>
    <w:p>
      <w:r>
        <w:t>Selon l'art. 394 al. 3 CO, une rémunération est due au mandataire si la convention ou l'usage lui en assure une. L'art. 1.5.1 du Règlement SIA 102-2003 prévoit que les honoraires doivent correspondre aux prestations fournies. La totalité des honoraires convenus n'est due que pour la prestation fournie conformément au contrat. Les honoraires de l'architecte peuvent se calculer d'après le temps employé effectif, d'après le coût de l'ouvrage, de manière forfaitaire (sans prise en compte du renchérissement) ou de manière globale (avec prise en compte du renchérissement) (art. 5.2.1 du Règlement SIA 102-2003). La rémunération sous</w:t>
      </w:r>
    </w:p>
    <w:p>
      <w:r>
        <w:t>- 15/26 -</w:t>
      </w:r>
    </w:p>
    <w:p>
      <w:r>
        <w:t>C/14169/2011 forme forfaitaire ou globale et d'après la rémunération horaire moyenne implique un accord préalable sans ambiguïté sur les objectifs, les résultats attendus et sur les prestations à fournir pour les atteindre. Une adaptation des honoraires est à convenir par avance en cas de modifications ultérieures des objectifs, des résultats ou des prestations (art. 5.2.4 du Règlement SIA 102-2003).</w:t>
      </w:r>
    </w:p>
    <w:p>
      <w:r>
        <w:rPr>
          <w:b/>
        </w:rPr>
        <w:t>E. 3.1.2</w:t>
      </w:r>
    </w:p>
    <w:p>
      <w:r>
        <w:t>Dans l'action en libération de dette, le fardeau de l'allégation et le fardeau de la preuve ne sont pas renversés: c'est au poursuivant de faire la preuve de l'existence et de l'exigibilité de sa créance; en ce sens, l'action en libération de dette est une action de jactance ou action provocatoire que le poursuivi ouvre pour obliger le poursuivant à faire la preuve de son droit (ATF 131 III 268 consid. 3.1; GILLIERON, Poursuite pour dettes, faillite et concordat, 5ème éd., 2012, n. 811 p. 203).</w:t>
      </w:r>
    </w:p>
    <w:p>
      <w:r>
        <w:rPr>
          <w:b/>
        </w:rPr>
        <w:t>E. 3.2</w:t>
      </w:r>
    </w:p>
    <w:p>
      <w:r>
        <w:t>En l'occurrence, ce grief de l'appelant, pour autant qu'il soit suffisamment motivé, n'est pas fondé. En effet, s'agissant de la phase d'appel d'offres et adjudications, l'intimé a prouvé qu'il avait procédé aux adjudications, à l'exception de celle de l'entreprise D______, dont le premier architecte s'était occupé. Il a également produit des pièces démontrant qu'il avait procédé à de nombreux appels d'offres de diverses entreprises et élaboré des tableaux comparatifs de ces offres qu'il a adressés à l'appelant. Contrairement à ce que soutient l'appelant, l'intimé a ainsi bel et bien démontré avoir effectué cette prestation. Le fait que le premier architecte ait effectué une partie de celle-ci n'y change rien, une expertise à cet égard étant ainsi inutile. En effet, l'appelant avait connaissance de ce qui avait été accompli par ce dernier dans la mesure où celui-ci lui avait remis l'intégralité de son dossier le 19 septembre 2007, soit près de trois mois avant la signature du contrat avec l'intimé. Il lui appartenait ainsi de négocier le forfait proposé par l'intimé à la baisse au motif qu'une partie de la phase d'appel d'offres et adjudications avait été réalisée par le premier architecte. Or, il ne l'a pas fait, acceptant par conséquent la répartition du forfait entre les différentes phases proposée par l'intimé et l'attribution de 19% des honoraires à la phase d'appel d'offres et adjudications. L'intimé a également produit les documents relatifs à la réception finale de l'ouvrage, démontrant ainsi avoir procédé à celle-ci, à la vérification de l'ouvrage et au suivi des retouches avec les différentes entreprises concernées jusqu'à la levée totale des réserves. Il a ainsi effectué sa prestation correspondant à la phase de mise en service. L'appelant n'a pour sa part apporté aucun élément permettant de remettre en cause l'accomplissement de cette prestation par l'intimé. L'intimé a par ailleurs démontré avoir notamment procédé au suivi du contentieux avec les entreprises V______ Sàrl et S______, s'être occupé du problème relatif au store défectueux, de celui du carrelage de salle de bain ainsi que du trou dans la</w:t>
      </w:r>
    </w:p>
    <w:p>
      <w:r>
        <w:t>- 16/26 -</w:t>
      </w:r>
    </w:p>
    <w:p>
      <w:r>
        <w:t>C/14169/2011 cuisine d'un des appartements. Le témoin T______ de la régie a par ailleurs confirmé avoir échangé des fax et des e-mails avec l'intimé dans le cadre du suivi des travaux sous garantie. L'appelant n'allègue quant à lui pas d'autres défauts pour lesquels l'intimé ne serait pas intervenu, à l'exception du défaut de serrurerie et de celui situé au niveau de la noue, défauts pour lesquels l'architecte ne pouvait assurer aucun suivi dans la mesure où il n'en a été informé qu'au cours de la présente procédure. Par conséquent, force est de constater que l'intimé a réalisé la prestation de suivi des travaux de garantie. S'agissant enfin de la documentation de l'ouvrage, elle n'a pas été facturée de sorte qu'elle ne peut donner lieu à une réduction des honoraires. Au vu de ce qui précède, le grief de l'appelant est infondé, de sorte que le jugement entrepris sera confirmé sur ce point.</w:t>
      </w:r>
    </w:p>
    <w:p>
      <w:r>
        <w:rPr>
          <w:b/>
        </w:rPr>
        <w:t>E. 4</w:t>
      </w:r>
    </w:p>
    <w:p>
      <w:r>
        <w:t>L'appelant reproche au Tribunal d'avoir écarté ses prétentions au motif que l'avis des défauts était tardif, faisant ainsi une application injustifiée de l'art. 367 CO, non applicable au contrat de mandat. Il soutient qu'il n'y aurait pas de déchéance des droits du mandant en cas d'avis des défauts tardif, l'art. 1.5.4 SIA 102-2003 ne prévoyant pas une telle conséquence et l'art. 1.11.21 SIA 102-2003 n'étant pas applicable au cas d'espèce dans la mesure où il concernerait uniquement la responsabilité pour les défauts proprement dits relevant du contrat d'entreprise et qu'en tout état, seuls les dommages résultant du retard lui-même seraient à la charge du mandant à teneur de cette norme, type de dommage dont il ne s'est pas prévalu. 4.1.1 L'architecte mandataire est responsable envers le mandant de la bonne et fidèle exécution du mandat (art. 398 al. 2 CO). Selon l'art. 1.3.1 du Règlement SIA 102-2003, l'architecte sert au mieux de ses connaissances et de sa compétence les intérêts du mandant, en particulier pour atteindre les objectifs de celui-ci. Il fournit les prestations contractuelles dans le respect des règles de l'art généralement reconnues dans sa profession. 4.1.2 L'art. 398 al. 1 CO renvoie aux règles régissant la responsabilité du travailleur dans les rapports de travail, soit à l'art. 321e CO, selon lequel le mandataire répond du dommage qu'il cause au mandant intentionnellement ou par négligence. Cette disposition reprend le régime général de l'art. 97 CO, qui prévoit que lorsque le créancier ne peut obtenir l'exécution de l'obligation ou ne peut l'obtenir qu'imparfaitement, le débiteur est tenu de réparer le dommage en résultant, à moins qu'il ne prouve qu'aucune faute ne lui est imputable (TERCIER/FAVRE, Les contrats spéciaux, 2009, p. 779 n. 5192 et 5195). Il en découle que la responsabilité de l'architecte mandataire suppose la réunion de quatre conditions qui sont cumulatives: une violation d'un devoir de diligence, une faute, un dommage et une relation de causalité (naturelle et adéquate) entre la</w:t>
      </w:r>
    </w:p>
    <w:p>
      <w:r>
        <w:t>- 17/26 -</w:t>
      </w:r>
    </w:p>
    <w:p>
      <w:r>
        <w:t>C/14169/2011 violation fautive du devoir de diligence et le dommage survenu. Il appartient au demandeur d'apporter la preuve des faits permettant de constater que chacune de ces conditions est remplie (art. 8 CC), sauf pour la faute qui est présumée (art. 97 al. 1 CO) (arrêt du Tribunal fédéral 4A_210/2015 du 2 octobre 2015 consid. 4.1; GAUCH/TERCIER, Le droit de l'architecte, 3ème éd., 1995, n. 419 à 423 p. 135, n. 430 p. 136, n. 583 p. 189). Le mandant doit établir qu'il a subi un dommage, c'est-à-dire une diminution involontaire de son patrimoine (TERCIER/FAVRE, op. cit., p. 780 n. 5197). Il doit également établir que le mandataire a violé l'une des obligations qui lui incombent. A noter que, parce que le mandataire n'est pas tenu du résultat escompté, l'absence ou l'échec du résultat ne constitue pas, à lui seul, la preuve d'une violation du contrat; il appartient au mandant de prouver que le mandataire a violé son obligation de diligence (TERCIER/FAVRE, op. cit., p. 780 n. 5199). Le mandant doit enfin établir qu'il existe un rapport de causalité naturelle et adéquate entre la violation du contrat et le préjudice qu'il invoque (TERCIER/FAVRE, op. cit., p. 780 n. 5200). Dans le cas où l'architecte est responsable de fautes commises dans l'exécution du mandat, il est tenu de rembourser au mandant les dommages qui en découlent. Cela vaut en particulier en cas de violation de son obligation de diligence et de loyauté, de non-respect ou de violation de règles de l'art reconnues de sa profession, de défauts de coordination ou de surveillance, d'évaluation insatisfaisante des coûts ou de non-respect de délais ou échéances contractuels (art. 1.9.11 du Règlement SIA 102-2003). L'architecte n'est pas responsable pour les prestations de tiers indépendants en relation contractuelle directe avec le mandant (art. 1.9.13 du Règlement SIA 102-2003). 4.1.3 L'art. 1.5.4 du Règlement SIA 102-2003 prévoit que le mandant prend en temps utile toutes les mesures raisonnables et appropriées en vue de prévenir l'apparition ou l'aggravation de dommages. Si, à titre exceptionnel, il présente directement des réclamations pour malfaçon à un ou plusieurs entrepreneurs ou fournisseurs, il en informera sans retard l'architecte par écrit. Selon l'art. 1.11.21 du Règlement SIA 102-2003, les prétentions fondées sur des défauts de l'ouvrage se prescrivent par 5 ans à compter de la réception de l'ouvrage ou de la partie d'ouvrage considérée. De tels défauts peuvent faire l'objet d'une réclamation à tout moment pendant les deux premières années après la réception. Une fois ce délai écoulé, les défauts doivent faire l'objet d'une réclamation immédiate dès leur découverte. Les dommages résultant d'une réclamation tardive sont à la charge du mandant lui-même. 4.2.1 En l'espèce, il n'est pas contesté en appel que l'avis des défauts était tardif, dans la mesure où l'ouvrage a été réceptionné les 17 et 18 novembre 2008 et que l'intimé a appris l'existence du défaut de la noue, découvert au plus tard le 21 septembre 2009, par le biais de l'action en libération de dette datée du 13 juillet</w:t>
      </w:r>
    </w:p>
    <w:p>
      <w:r>
        <w:t>- 18/26 -</w:t>
      </w:r>
    </w:p>
    <w:p>
      <w:r>
        <w:t>C/14169/2011 2011 et le défaut de serrurerie, découvert au plus tard le 23 avril 2012, dans la réplique de l'appelant du 11 juin 2012. Demeure litigieuse la conséquence à donner à un avis des défauts tardif. Contrairement à ce que soutient l'appelant, le Tribunal n'a pas fait application de l'art. 367 CO pour écarter sa prétention, mais de l'art. 1.11.21 du Règlement SIA 102-2003. Cet article s'applique bel et bien au cas d'espèce dans la mesure où il ne fait pas de distinction en fonction du type de contrat liant l'architecte au maître de l'ouvrage et s'applique dès lors qu'une prétention se fonde sur des défauts de l'ouvrage, ce qui est le cas en l'espèce. Cela étant, à teneur de cet article, seuls les dommages résultants d'une réclamation tardive sont à la charge du mandant, à savoir les dommages qui auraient pu être évités si l'avis des défauts n'avait pas été tardif. Or en l'espèce, le problème d'infiltration d'eau serait dû à une pente insuffisante de la charpente au niveau de la noue. Le dommage allégué consiste en la prise en charge des travaux permettant de remédier définitivement au problème d'infiltration, et non en la réparation d'un dommage survenu ultérieurement, en raison d'un avis tardif. Il en va de même pour le dommage relatif à la serrurerie. Par conséquent, ces dommages peuvent potentiellement être à la charge du mandataire si les conditions de sa responsabilité sont réunies. 4.2.2 S'agissant du défaut au niveau de la noue, l'appelant reproche au Tribunal d'avoir considéré qu'il n'avait pas apporté la preuve d'un quelconque dommage dans la mesure où les travaux devisés n'ont jamais été exécutés. Selon lui, la réfection de la noue a été suspendue au profit d'une étanchéité provisoire en raison des constatations qu'il faut faire pendant le procès, de sorte que le devis relatif à la réfection définitive ne doit pas être écarté. Cette argumentation est erronée. En effet, il est établi que des infiltrations d'eau sont apparues en raison d'un défaut au niveau de la noue, la pente de la charpente étant insuffisante. L'appelant a fait procéder à la réfection de ce défaut et a ainsi modifié l'état dans lequel était la couverture. Aucune constatation n'est désormais utile à cet égard, de sorte que la réfection de la noue aurait pu intervenir il y a plusieurs années si telle avait été l'intention de l'appelant. Dans la mesure où le problème d'infiltration est résolu depuis l'automne 2013 et que les travaux de réfection n'ont pas été facturés par l'entreprise qui y a procédé, il n'y a pas de dommage résiduel. Pour le surplus, et comme l'a relevé à juste titre le Tribunal, l'appelant avait été mis en garde contre l'insuffisance de la pente de charpente et a néanmoins décidé de faire exécuter les travaux. Il ne peut dès lors tenir l'architecte pour responsable à cet égard. Au vu de ce qui précède, les conditions de la responsabilité de l'architecte ne sont pas réalisées s'agissant du défaut au niveau de la noue.</w:t>
      </w:r>
    </w:p>
    <w:p>
      <w:r>
        <w:t>- 19/26 -</w:t>
      </w:r>
    </w:p>
    <w:p>
      <w:r>
        <w:t>C/14169/2011 4.2.3 En ce qui concerne le défaut de serrurerie, l'appelant fait grief au Tribunal d'avoir donné crédit au témoignage du serrurier alors que ce dernier soutenait de manière incohérente que la rouille sur le toit était survenue en raison du sablage sur les pièces d'acier des vitrines situées au rez-de-chaussée. Il allègue que l'intimé aurait pu prévenir le défaut de serrurerie s'il avait été diligent. Il ne ressort toutefois pas de la procédure que les pièces n'auraient pas été thermo-laquées comme le soutient l'appelant, ni qu'il aurait été possible, dans une telle hypothèse, pour l'architecte de déceler l'absence de thermo-laquage lors du contrôle des pièces. Le serrurier a par ailleurs confirmé que les pièces avaient bel et bien été thermo-laquées. Il ne peut dès lors être retenu une violation du devoir de diligence de l'intimé à cet égard. Par conséquent, les conditions de la responsabilité de l'architecte ne sont pas réalisées s'agissant du défaut de serrurerie. 4.2.4 S'agissant enfin du dommage allégué en lien avec la non-remise des documents de révision, l'appelant reproche au Tribunal d'avoir uniquement considéré qu'il se limitait à la gêne qui pouvait ou non en résulter dans le suivi quotidien par la régie. Or, le dommage toucherait également les opérations d'entretien à long terme. Ce type de dommage, futur et éventuel, n'a pas été démontré par l'appelant, la gérante de l'immeuble ayant affirmé qu'en l'état elle n'avait rencontré aucun problème dans l'accomplissement de son travail en raison de l'absence de cette documentation. Par ailleurs, le dommage allégué correspond au coût de reconstitution de cette documentation. Une telle reconstitution n'est toutefois pas nécessaire dans la mesure où l'architecte a retenu cette prestation uniquement en raison du défaut de paiement de ses honoraires. Le présent arrêt confirmant la rémunération de l'architecte, l'appelant pourra vraisemblablement obtenir cette documentation pour le prix initialement convenu. Une expertise à cet égard n'a dès lors pas lieu d'être. Faute pour l'appelant d'avoir démontré un quelconque dommage du fait de l'absence de documentation, les conditions de responsabilité de l'architecte ne sont pas remplies. 4.2.5 Au vu de ce qui précède, le jugement entrepris sera confirmé sur ce point également.</w:t>
      </w:r>
    </w:p>
    <w:p>
      <w:r>
        <w:rPr>
          <w:b/>
        </w:rPr>
        <w:t>E. 5</w:t>
      </w:r>
    </w:p>
    <w:p>
      <w:r>
        <w:t>L'appelant a conclu à ce que la Cour ordonne une expertise afin de déterminer la proportion des prestations effectuées par chacun des architectes et à évaluer le dommage résultant de la non-remise de la documentation de l'ouvrage.</w:t>
      </w:r>
    </w:p>
    <w:p>
      <w:r>
        <w:t>- 20/26 -</w:t>
      </w:r>
    </w:p>
    <w:p>
      <w:r>
        <w:t>C/14169/2011 Il est douteux que cette conclusion soit suffisamment motivée pour être recevable, dans la mesure où l'appelant ne formule aucune critique précise à l'encontre des considérants de l'ordonnance du 17 août 2015 par laquelle le Tribunal a rejeté sa demande d'expertise. En tout état de cause, compte tenu de ce qui figure aux considérants 3.2 et 4.2.4 ci-dessus, la requête d'expertise doit être rejetée car une telle mesure est inutile in casu.</w:t>
      </w:r>
    </w:p>
    <w:p>
      <w:r>
        <w:rPr>
          <w:b/>
        </w:rPr>
        <w:t>E. 6</w:t>
      </w:r>
    </w:p>
    <w:p>
      <w:r>
        <w:t>Au sujet du paiement des honoraires, l'intimé soutient que la clause contractuelle «montant d'honoraires forfaitaire, net, bloqué fin de chantier, mais au plus tard fin 2009» est devenue caduque en raison du défaut de paiement par l'appelant. Il soutient que cette clause signifierait que le paiement du forfait devait intervenir à la fin du chantier, mais au plus tard le 31 décembre 2009, faute de quoi les honoraires devaient être calculés selon le coût de l'ouvrage par l'application de l'art. 7 du Règlement SIA 102-2003. Il réclame désormais le paiement d'un solde d'honoraires de 31'064 fr. en lieu et place de 46'150 fr.</w:t>
      </w:r>
    </w:p>
    <w:p>
      <w:r>
        <w:rPr>
          <w:b/>
        </w:rPr>
        <w:t>E. 6.1</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rPr>
          <w:b/>
        </w:rPr>
        <w:t>E. 6.2</w:t>
      </w:r>
    </w:p>
    <w:p>
      <w:r>
        <w:t>En l'occurrence, les parties sont convenues d'une rémunération forfaitaire de l'architecte. L'on ne saurait déduire de la formulation de la clause «montant d'honoraires forfaitaire, net, bloqué fin de chantier, mais au plus tard fin 2009» que les honoraires devraient être recalculés selon le coût de l'ouvrage, aucun élément du contrat ne laissant présumer une telle règle. La Cour relève à cet égard que l'intimé fait valoir ce grief pour la première fois en appel et qu'il n'a jamais indiqué à l'appelant qu'en raison de son défaut de paiement, le forfait était caduc, impliquant un recalcul des honoraires selon le coût de l'ouvrage, ce qu'il n'aurait pas manqué de faire si une telle règle découlait du contrat comme il le soutient. Par conséquent, le forfait est toujours valable, de sorte que le solde dû par l'appelant s'élève à 46'150 fr. Le jugement entrepris sera dès lors confirmé sur ce point.</w:t>
      </w:r>
    </w:p>
    <w:p>
      <w:r>
        <w:rPr>
          <w:b/>
        </w:rPr>
        <w:t>E. 7</w:t>
      </w:r>
    </w:p>
    <w:p>
      <w:r>
        <w:t>L'intimé reproche au Tribunal d'avoir écarté ses prétentions en rémunération des prestations supplémentaires à hauteur de 14'700 fr. relatives aux demandes des subventions étatiques au motif qu'elles étaient comprises dans le contrat de base. Il considère que pour que tel soit le cas, ces prestations devaient faire l'objet d'une mention spécifique dans le contrat conformément à la norme SIA 102, ce qui n'est pas le cas en l'espèce.</w:t>
      </w:r>
    </w:p>
    <w:p>
      <w:r>
        <w:rPr>
          <w:b/>
        </w:rPr>
        <w:t>E. 7.1</w:t>
      </w:r>
    </w:p>
    <w:p>
      <w:r>
        <w:t>En vertu de l'art. 394 al. 3 CO, le mandataire a droit à la rétribution des prestations supplémentaires que le maître de l'ouvrage lui a commandées pendant l'exécution du contrat, alors même qu'aucune rémunération n'aurait été</w:t>
      </w:r>
    </w:p>
    <w:p>
      <w:r>
        <w:t>- 21/26 -</w:t>
      </w:r>
    </w:p>
    <w:p>
      <w:r>
        <w:t>C/14169/2011 explicitement convenue, tandis qu'il ne peut en principe rien réclamer pour des prestations non commandées (arrêts du Tribunal fédéral 4A_294/2012 et 4A_300/2012 du 8 octobre 2012 consid. 5). Selon l'art. 3.1.1 du Règlement SIA 102-2003, les prestations à fournir doivent être décrites à l'avance le plus précisément possible et convenues avec le mandant. A défaut d'une convention différente, le mandat de l'architecte englobe en principes les phases 3 Etude du projet, 4 Appel d'offres et 5 Réalisation (art. 3.1.5 du Règlement SIA 102-2003). Ces prestations se subdivisent en prestations ordinaires et en prestations à convenir spécifiquement (art. 3.3.2 du Règlement SIA 102-2003). Les prestations ordinaires sont celles qui sont en général nécessaires et suffisantes pour remplir un mandat (art. 3.3.3 du Règlement SIA 102-2003). Des prestations à convenir spécifiquement peuvent s'ajouter aux prestations ordinaires si la nature de la tâche le requiert ou si le mandant le désire. L'art. 4 les énumère de manière non exhaustive. L'accomplissement de prestations à convenir spécifiquement doit faire l'objet d'un accord préalable (art. 3.3.4 du Règlement SIA 102-2003). La rédaction de documents pour toutes demandes de subventions et le décompte de subventions de tout genre sont des prestations à convenir spécifiquement (art. 4.33 et 4.53 du Règlement SIA 102-2003).</w:t>
      </w:r>
    </w:p>
    <w:p>
      <w:r>
        <w:rPr>
          <w:b/>
        </w:rPr>
        <w:t>E. 7.2</w:t>
      </w:r>
    </w:p>
    <w:p>
      <w:r>
        <w:t>En l'espèce, le contrat signé par les parties le 6 décembre 2007 ne fait pas état de prestations relatives aux demandes de subventions étatiques. Cela étant, la Norme SIA 102-2003 n'impose pas que les prestations à convenir spécifiquement doivent faire l'objet d'une convention écrite, les parties pouvant dès lors se mettre d'accord oralement. En l'occurrence, le premier architecte avait commencé la procédure de demande de subvention durant son mandat et le bonus avait été octroyé par le DCTI en janvier 2006 déjà. Dans la mesure où l'intimé a repris l'activité du premier architecte, il n'ignorait pas qu'il devrait poursuivre ces prestations, ce d'autant plus que cinq jours après la signature du contrat, il accomplissait déjà des démarches auprès du DCTI dans ce cadre. Ces prestations ne constituent dès lors pas des prestations supplémentaires commandées par le maître de l'ouvrage pendant l'exécution du mandat, mais des prestations sur lesquelles les parties se sont mises d'accord avant la signature du contrat et dont la rémunération est dès lors comprise dans le forfait. Si tel n'avait pas été le cas, l'intimé aurait indiqué dans le contrat que ces prestations étaient à facturer séparément, indication expressément donnée s'agissant des frais de reproduction par exemple. La mention du règlement des prestations supplémentaires dans deux courriers de mise en demeure adressés par l'intimé à l'appelant, qui ne précisent d'ailleurs pas de quelles prestations supplémentaires il s'agit, ne permet pas de retenir que l'activité relative à l'obtention des subventions devait être rémunérée séparément. L'intimé n'aurait pas manqué de facturer ces prestations dans une telle hypothèse, ce qu'il n'a pas fait. Celles-ci ne figurent pas non plus dans le décompte final de ses honoraires et</w:t>
      </w:r>
    </w:p>
    <w:p>
      <w:r>
        <w:t>- 22/26 -</w:t>
      </w:r>
    </w:p>
    <w:p>
      <w:r>
        <w:t>C/14169/2011 il n'en a par ailleurs pas réclamé le paiement dans le cadre de la poursuite contre l'appelant. Au vu de ce qui précède, la Cour constate que les prestations relatives à l'obtention des subventions étaient comprises dans le forfait, de sorte que l'intimé ne peut réclamer de rémunération supplémentaire à cet égard. Le jugement entrepris sera dès lors confirmé sur ce point.</w:t>
      </w:r>
    </w:p>
    <w:p>
      <w:r>
        <w:rPr>
          <w:b/>
        </w:rPr>
        <w:t>E. 8</w:t>
      </w:r>
    </w:p>
    <w:p>
      <w:r>
        <w:t>Sur appel joint, l'intimé conteste la répartition des frais judiciaires et le montant des dépens arrêtés par le premier juge. S'agissant des frais judiciaires, dont le montant n'est pas contesté, l'intimé soutient qu'ayant obtenu gain de cause sur trois des quatre points litigieux – à savoir sur l'action en libération de dette, la demande relative au défaut de la noue et celle relative au défaut de serrurerie – et n'ayant succombé que sur sa demande reconventionnelle, il aurait dû logiquement être condamné à payer le quart des frais judiciaires. L'activité du Tribunal ayant toutefois porté pour l'essentiel sur les trois points pour lesquels il a obtenu gain de cause, 10% seulement des frais judiciaires devraient être à sa charge. S'agissant des dépens, fixés à 6'583 fr. par le Tribunal sur la base de la valeur litigieuse de l'action en libération de dette (46'150 fr), l'intimé soutient que le tribunal a procédé à un calcul arbitraire en faisant abstraction du travail important qu'il a fourni pour présenter sa défense et considère qu'un montant de 25'000 fr. serait approprié, subsidiairement 25'979 fr. pour tenir compte de la valeur litigieuse de 174'950 fr. (46'150 fr. + 128'800 fr.). 8.1.1 Selon l'art. 106 al. 1 CPC, les frais sont mis à la charge de la partie succombante. 8.1.2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20 al. 1 LaCC et art. 84 RTFMC). Pour les affaires pécuniaires, au-delà de 40'000 fr. jusqu'à 80'000 fr., le défraiement est de 6'100 fr. plus 9% de la valeur litigieuse dépassant 40'000 fr. (art. 85 RTFMC). Pour tenir compte des éléments précités, le défraiement peut s'écarter, de plus ou moins 10%, de ce barème (art. 85 al. 1 1ère phrase RTFMC). Les débours nécessaires sont estimés, sauf éléments contraires, à 3% du défraiement et s'ajoutent à celui-ci (art. 25 LaCC). La juridiction fixe les dépens d'après le dossier en chiffres ronds, incluant la taxe sur la valeur ajoutée (art. 26 al. 1 LaCC). Lorsqu'il y a une disproportion manifeste entre la valeur litigieuse et l'intérêt des parties au procès ou entre le taux applicable selon la loi et le travail effectif de</w:t>
      </w:r>
    </w:p>
    <w:p>
      <w:r>
        <w:t>- 23/26 -</w:t>
      </w:r>
    </w:p>
    <w:p>
      <w:r>
        <w:t>C/14169/2011 l'avocat, la juridiction peut fixer un défraiement inférieur ou supérieur aux taux minimums et maximums prévus (art. 23 al. 1 LaCC). 8.2.1 En l'espèce, les frais judiciaires de première instance ont été fixés à 20'500 fr., soit 500 fr. pour la décision sur requête d'inventaire provisoire, 10'000 fr., pour l'action en libération de dette et la demande reconventionnelle de l'appelant, et 10'000 fr. pour la demande reconventionnelle de l'intimé. Dans la mesure où le montant des frais judiciaires n'est pas contesté, à juste titre (art. 17 RTFMC), et que l'intimé a succombé sur sa demande reconventionnelle et sa requête d'inventaire provisoire, les frais judiciaires y relatifs sont à sa charge conformément à l'art. 106 al. 1 CPC. Par conséquent, la répartition des frais judiciaires effectuée par le Tribunal sera confirmée. 8.2.2 S'agissant des dépens, ils ont été fixés par le Tribunal sur la base de la valeur litigieuse de l'action en libération de dette de 46'150 fr. Cela se justifie par le fait que les parties supportent leurs propres dépens s'agissant de leurs demandes reconventionnelles respectives où elles succombent chacune dans une mesure semblable, raison pour laquelle il n'a d'ailleurs pas été alloué de dépens en faveur de l'appelant. Calculés conformément à l'art. 85 RTFMC, les dépens pouvant être alloués à l'intimé s'établissaient à 6'653 fr. 50, plus ou moins 10%, soit un montant compris entre 5'988 fr. 15 et 7'318 fr. 85. Fixés à 6'583 fr. par le premier juge, les dépens respectent ainsi les art. 84 et 85 RTFMC et seront par conséquent confirmés.</w:t>
      </w:r>
    </w:p>
    <w:p>
      <w:r>
        <w:rPr>
          <w:b/>
        </w:rPr>
        <w:t>E. 9.1</w:t>
      </w:r>
    </w:p>
    <w:p>
      <w:r>
        <w:t>Les frais judiciaires d'appel seront arrêtés à 7'100 fr., au vu de la valeur litigieuse de l'appel de 174'950 fr. (art. 17 et 35 RTFMC), et mis à la charge de l'appelant qui succombe (art. 105 al. 1 et 106 al. 1 CPC). Ils seront partiellement compensés avec l'avance de frais de 6'900 fr. fournie par l'appelant, qui reste acquise à l'Etat, et l'appelant sera condamné à payer à l'Etat la somme de 200 fr. à titre de solde de frais (art. 111 al. 1 CPC). L'appelant sera en outre condamnée à payer à l'intimé la somme de 8'000 fr. à titre de dépens d'appel (art. 105 al. 2 et 111 al. 2 CPC; art. 84, 85 et 90 RTFMC), débours compris (art. 25 et 26 LaCC), la TVA n'étant pas comprise au vu du domicile de l'intimé à l'étranger.</w:t>
      </w:r>
    </w:p>
    <w:p>
      <w:r>
        <w:rPr>
          <w:b/>
        </w:rPr>
        <w:t>E. 9.2</w:t>
      </w:r>
    </w:p>
    <w:p>
      <w:r>
        <w:t>Au vu de la valeur litigieuse de 45'764 fr. de l'appel joint, les frais judiciaires d'appel joint seront arrêtés à 3'360 fr. (art. 17 et 35 RTFMC) et mis à la charge de l'intimé, qui succombe (art. 105 al. 1 et 106 al. 1 CPC). Ils seront entièrement compensés avec l'avance de même montant fournie par l'intimé, qui reste acquise à l'Etat (art. 111 al. 1 CPC). L'intimée sera condamné à payer à l'appelant la somme de 4'000 fr. à titre de dépens d'appel joint (art. 105 al. 2 et 111 al. 2 CPC; art. 84, 85 et 90 RTFMC), débours et TVA compris (25 et 26 LaCC).</w:t>
      </w:r>
    </w:p>
    <w:p>
      <w:r>
        <w:t>- 24/26 -</w:t>
      </w:r>
    </w:p>
    <w:p>
      <w:r>
        <w:t>C/14169/2011</w:t>
      </w:r>
    </w:p>
    <w:p>
      <w:r>
        <w:rPr>
          <w:b/>
        </w:rPr>
        <w:t>E. 10</w:t>
      </w:r>
    </w:p>
    <w:p>
      <w:r>
        <w:t>Le présent arrêt est susceptible d'un recours en matière civile au Tribunal fédéral (art. 72 al. 1 LTF), la valeur litigieuse étant supérieure à 30'000 fr. (art. 51 al. 1 let. a, 53 et 74 al. 1 let. b LTF). * * * * *</w:t>
      </w:r>
    </w:p>
    <w:p>
      <w:r>
        <w:t>- 25/26 -</w:t>
      </w:r>
    </w:p>
    <w:p>
      <w:r>
        <w:t>C/14169/2011 PAR CES MOTIFS, La Chambre civile : A la forme : Déclare recevable l'appel interjeté le 4 avril 2016 par A______ contre le jugement JTPI/2624/2016 rendu le 25 février 2016 par le Tribunal de première instance dans la cause C/14169/2011-5. Déclare recevable l'appel joint formé le 9 juin 2016 par B______ contre ce même jugement. Au fond : Confirme le jugement entrepris. Déboute les parties de toutes autres conclusions. Sur les frais : Arrête les frais judiciaires de l'appel à 7'100 fr., les met à la charge de A______ et dit qu'ils sont partiellement compensés avec l'avance de 6'900 fr. fournie par ce dernier, qui demeure acquise à l'Etat de Genève. Condamne A______ à payer à l'Etat de Genève, soit pour lui les Services financiers du Pouvoir judiciaire, la somme de 200 fr. à titre de solde de frais judiciaires. Arrête les frais judiciaires de l'appel joint à 3'360 fr., les met à la charge de B______ et les compense avec l'avance de frais fournie par celui-ci, qui demeure acquise à l'Etat de Genève. Condamne A______ à payer à B______ la somme de 8'000 fr. à titre de dépens d'appel. Condamne B______ à payer à A______ la somme de 4'000 fr. à titre de dépens d'appel joint. Siégeant : Monsieur Laurent RIEBEN, président; Monsieur Patrick CHENAUX et Madame Fabienne GEISINGER-MARIETHOZ, juges; Madame Anne-Lise JAQUIER, greffière.</w:t>
      </w:r>
    </w:p>
    <w:p>
      <w:r>
        <w:t>Le président : Laurent RIEBEN</w:t>
      </w:r>
    </w:p>
    <w:p>
      <w:r>
        <w:t>La greffière : Anne-Lise JAQUIER</w:t>
      </w:r>
    </w:p>
    <w:p>
      <w:r>
        <w:t>- 26/26 -</w:t>
      </w:r>
    </w:p>
    <w:p>
      <w:r>
        <w:t>C/14169/2011</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