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ACJC/1740/2019 vom 11. Dezember 2019</w:t>
      </w:r>
    </w:p>
    <w:p>
      <w:r>
        <w:t>GE Cour de justice, 2019-12-11, FR</w:t>
      </w:r>
    </w:p>
    <w:p>
      <w:r>
        <w:rPr>
          <w:b/>
        </w:rPr>
        <w:t xml:space="preserve">Quelle: </w:t>
      </w:r>
      <w:r>
        <w:t>https://mcp.opencaselaw.ch/entscheid/ge_gerichte_ACJC_1740_2019</w:t>
      </w:r>
    </w:p>
    <w:p>
      <w:r>
        <w:t>FR: GE_GERICHTE ACJC/1740/2019 du 11 décembre 2019</w:t>
      </w:r>
    </w:p>
    <w:p>
      <w:r>
        <w:t>IT: GE_GERICHTE ACJC/1740/2019 del 11 dicembre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notamment, sur les droits parentaux, soit sur une affaire non pécuniaire dans son ensemble, la voie de l'appel est ouverte indépendamment de la valeur litigieuse (arrêts du Tribunal fédéral 5A_781/2015 du 14 mars 2016 consid. 1, 5A_331/2015 du 20 janvier 2016 consid. 1 et 5A_765/2012 du 19 février 2013 consid. 1.1). L'appel et l'appel joint ont été formés selon la forme et dans le délai prescrits par la loi (art. 130, 131, 142 al. 1 et al. 3, 311, 312 al. 2 et 313 al. 1 CPC). Ils sont, partant, recevables. Il en va de même de la réponse de l'intimée (art. 145 al. 1 let. c et 312 CPC), des écritures subséquentes des parties, ainsi que des conclusions prises par l'aînée, déposées dans les délais légaux, respectivement impartis à cet effet. Par souci de simplification, l'ex-épouse sera ci-après désignée en qualité d'appelante et l'ex-époux en qualité d'intimé.</w:t>
      </w:r>
    </w:p>
    <w:p>
      <w:r>
        <w:rPr>
          <w:b/>
        </w:rPr>
        <w:t>E. 1.2</w:t>
      </w:r>
    </w:p>
    <w:p>
      <w:r>
        <w:t>La Cour revoit la cause en fait et en droit avec un plein pouvoir d'examen (art. 310 CPC).</w:t>
      </w:r>
    </w:p>
    <w:p>
      <w:r>
        <w:rPr>
          <w:b/>
        </w:rPr>
        <w:t>E. 1.3</w:t>
      </w:r>
    </w:p>
    <w:p>
      <w:r>
        <w:t>S'agissant de la contribution d'entretien d'un enfant encore mineur, les maximes d'office et inquisitoire illimitée s'appliquent (art. 296 al. 1 et 3, 55 al. 2 et 58 al. 2 CPC; ATF 129 III 417 consid. 2.1.2; 128 III 411 consid. 3.2.2;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des débats sont applicables (art. 277 al. 1 CPC) s'agissant de la contribution d'entretien due à l'épouse et à l'enfant majeure (arrêt du Tribunal fédéral 5A_97/2017 du 23 août 2017 consid. 3.3.1). Le tribunal établit les faits d'office (art. 277 al. 3 CPC), en particulier en matière de prévoyance professionnelle (art. 73 al. 2 LPP).</w:t>
      </w:r>
    </w:p>
    <w:p>
      <w:r>
        <w:t>- 12/26 -</w:t>
      </w:r>
    </w:p>
    <w:p>
      <w:r>
        <w:t>C/4364/2014</w:t>
      </w:r>
    </w:p>
    <w:p>
      <w:r>
        <w:rPr>
          <w:b/>
        </w:rPr>
        <w:t>E. 2</w:t>
      </w:r>
    </w:p>
    <w:p>
      <w:r>
        <w:t>L'intimé soutient que les pièces n° 17, 20 à 28 et 30 à 32 de l'appelante sont irrecevables.</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(arrêt du Tribunal fédéral 5A_788/2017 du 2 juillet 2018, consid. 4.2.1.).</w:t>
      </w:r>
    </w:p>
    <w:p>
      <w:r>
        <w:rPr>
          <w:b/>
        </w:rPr>
        <w:t>E. 2.2</w:t>
      </w:r>
    </w:p>
    <w:p>
      <w:r>
        <w:t>En l'espèce, les pièces produites en appel sont dès lors recevables.</w:t>
      </w:r>
    </w:p>
    <w:p>
      <w:r>
        <w:rPr>
          <w:b/>
        </w:rPr>
        <w:t>E. 3</w:t>
      </w:r>
    </w:p>
    <w:p>
      <w:r>
        <w:t>L'appelante sollicite que le droit de visite de l'intimé soit réglé parce que les parties sont en désaccord sur certaines modalités de son exercice.</w:t>
      </w:r>
    </w:p>
    <w:p>
      <w:r>
        <w:t>L'intimé s'y oppose au motif que l'appelante n'a pas suffisamment motivé son grief.</w:t>
      </w:r>
    </w:p>
    <w:p>
      <w:r>
        <w:t>Le Tribunal a fixé le droit de visite les mercredis et vendredis soirs sans précisions d'horaire. Il fixé son terme au dimanche soir et indiqué la moitié des vacances scolaires et jours fériés en n'évoquant une alternance que pour les vacances d'été et celles de fin d'années, laissant les parties déterminer entre elles la répartition des autres vacances et jours fériés.</w:t>
      </w:r>
    </w:p>
    <w:p>
      <w:r>
        <w:rPr>
          <w:b/>
        </w:rPr>
        <w:t>E. 3.1</w:t>
      </w:r>
    </w:p>
    <w:p>
      <w:r>
        <w:t>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C'est pourquoi le critère déterminant pour l'octroi, le refus et la fixation des modalités du droit de visite est le bien de l'enfant, et non une éventuelle faute commise par le titulaire du droit (arrêt du Tribunal fédéral 5A_173/2014 du 6 juin 2014 consid. 3.3). Le rapport de l'enfant avec ses deux parents est essentiel et joue un rôle décisif dans le processus de sa recherche d'identité (ATF 130 III 585 consid. 2.2.2; arrêt du Tribunal fédéral 5A_173/2014 du 6 juin 2014 consid. 3.3). L'importance et le mode d'exercice des relations personnelles doivent être appropriés à la situation, autrement dit tenir équitablement compte des circonstances particulières du cas (ATF 127 III 295 consid. 4a). On tiendra</w:t>
      </w:r>
    </w:p>
    <w:p>
      <w:r>
        <w:t>- 13/26 -</w:t>
      </w:r>
    </w:p>
    <w:p>
      <w:r>
        <w:t>C/4364/2014 compte notamment de l'âge de l'enfant, de son état de santé, de ses loisirs, etc. La disponibilité du parent (horaires de travail et autres obligations), son lieu de vie, sa personnalité et la relation qu'il entretient avec l'enfant sont autant de critères pertinents (LEUBA, in Commentaire romand, Code civil I, 2010, n. 14 ad art. 273 CC). En vertu de l'art. 4 CC, le juge dispose d'un large pouvoir d'appréciation dans la fixation du droit aux relations personnelles des art. 273 et 274 CC (ATF 131 III 209 consid. 3; arrêt du Tribunal fédéral 5A_478/2018 du 10 août 2018 consid. 5.2.1 et les réf. citées).</w:t>
      </w:r>
    </w:p>
    <w:p>
      <w:r>
        <w:rPr>
          <w:b/>
        </w:rPr>
        <w:t>E. 3.2</w:t>
      </w:r>
    </w:p>
    <w:p>
      <w:r>
        <w:t>En l'espèce, quand bien même l'appelante n'a guère motivé son grief, le droit de visite de l'intimé sur sa fille cadette doit être réglé. En effet, en dépit de la séparation des parties en janvier 2012, le déroulement du droit de visite est demeuré un sujet de tensions entre les parties. Or, il est dans l'intérêt de la cadette, bientôt âgée de 12 ans révolus en décembre 2019, que le passage d'un parent à l'autre se déroule dans les meilleures conditions possibles. Il sera tout d'abord précisé que le droit de visite du père, sauf accord contraire des parties, débutera à 18h30 les mercredis et vendredis soirs. Il se terminera ensuite le jeudi matin, retour à l'école (respectivement chez sa mère lors de congés), ainsi que le dimanche soir, comme fixé par le Tribunal, et non pas le lundi matin, cela afin d'éviter à la cadette un trajet plus long depuis chez son père pour se rendre à l'école, étant relevé que l'appelante n'a pas fait état de tensions lors des retours du dimanche soir. De plus, cette solution est plus confortable pour la cadette au terme de ses vacances et jours fériés car elle lui permet de regagner son principal lieu de vie avant la reprise de l'école. Le droit de visite prendra fin, en cas de désaccord des parties, le dimanche à 20h. L'appelante n'explique pas en quoi il est dans l'intérêt de sa fille cadette de circonscrire ses vacances d'été à deux semaines consécutives au maximum, prises durant les deux premières semaines de juillet ou durant les deux premières semaines d'août. De telles limitations n'ayant pas de justification, elles ne seront pas prises en considération. Ainsi, si les parties ne parviennent pas à se mettre d'accord, les vacances scolaires et les jours fériés devront se passer la moitié du temps avec chacun des parents, et, alternativement, à Noël ou Nouvel-An, février ou octobre, Pâques ou Pentecôte, l'Ascension ou le Jeûne Genevois, juillet ou août, et avec un préavis minimum de deux mois. Le ch. 6 du dispositif du jugement entrepris sera ainsi modifié dans ce sens.</w:t>
      </w:r>
    </w:p>
    <w:p>
      <w:r>
        <w:t>- 14/26 -</w:t>
      </w:r>
    </w:p>
    <w:p>
      <w:r>
        <w:t>C/4364/2014</w:t>
      </w:r>
    </w:p>
    <w:p>
      <w:r>
        <w:rPr>
          <w:b/>
        </w:rPr>
        <w:t>E. 4</w:t>
      </w:r>
    </w:p>
    <w:p>
      <w:r>
        <w:t>L'appelante sollicite des contributions mensuelles d'entretien de 2'700 fr. (dont 1'300 fr. de contribution de prise en charge) pour la cadette, de 1'500 fr. pour l'aînée et de 2'000 fr. pour elle-même. Elle se prévaut de charges mensuelles totales de 6'190 fr. (chiffres arrondis) pour elle-même (base mensuelle d'entretien : 1'350 fr., 80% du loyer de 2'316 fr. : 1'853 fr. , frais médicaux : 38 fr., assurance-maladie, complémentaire incluse : 580 fr.; frais de transport : 450 fr., de parking : 71 fr., responsabilité civile : 20 fr., protection juridique : 32 fr., impôts (acomptes 2019) : 396 fr., arriérés d'impôts 2016 : 100 fr., respectivement 2017 : 260 fr., assistance juridique : 30 fr., dettes M______ : 88 fr., L______ [banque] S______ : 270 fr., L______ [organisme] T______ : 88 fr. , J______ : 50 fr., K______ : 214 fr. et Madame N______ : 300 fr.). Pour la cadette, elle fait valoir des charges mensuelles à concurrence de 1'908 fr. (base mensuelle d'entretien : 600 fr., 10% du loyer : 231 fr., assurance-maladie : 213 fr., frais d'école : 70 fr., argent de poche : 70 fr.; frais de loisirs : 50 fr., frais d'habits : 100 fr., frais alimentation [allergies] : 200 fr., transports : 45 fr. et frais médicaux : 329 fr.). Pour l'aînée, elle invoque des charges mensuelles totalisant 2'158 fr. (base mensuelle d'entretien : 600 fr., 10% du loyer : 231 fr. 15, assurance-maladie : 711 fr. 85, frais d'école : 70 fr., repas de midi à l'extérieur : 150 fr., argent de poche : 70 fr.; frais de loisirs : 50 fr., frais d'habits : 100 fr., transports : 45 fr. et frais médicaux : 130 fr.).</w:t>
      </w:r>
    </w:p>
    <w:p>
      <w:r>
        <w:t>L'intimé demande pour sa part une réduction de la contribution d'entretien de la cadette à 1'021 fr. 70 dès le 1er février 2019. Il sollicite la confirmation de la contribution d'entretien de 1'335 fr. fixée pour l'aînée et s'oppose à toute contribution à l'entretien de l'appelante dès le 1er février 2019. Il lui reproche d'avoir résilié son contrat avec l'administration communale de C______, dès lors qu'elle pouvait exercer des missions ponctuelles en sus de sa nouvelle activité de caissière-comptable.</w:t>
      </w:r>
    </w:p>
    <w:p>
      <w:r>
        <w:rPr>
          <w:b/>
        </w:rPr>
        <w:t>E. 4.1</w:t>
      </w:r>
    </w:p>
    <w:p>
      <w:r>
        <w:t>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w:t>
      </w:r>
    </w:p>
    <w:p>
      <w:r>
        <w:t>- 15/26 -</w:t>
      </w:r>
    </w:p>
    <w:p>
      <w:r>
        <w:t>C/4364/2014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L'article 285 al. 2 CC prévoit que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(ATF 144 III 377 consid. 7.1.3; arrêt du Tribunal fédéral 5A_830/2018 du 21 mai 2019 consdi. 4.1 et la référence citée). Aux frais directs générés par l'enfant viennent donc s'ajouter les coûts indirects de sa prise en charge, indépendamment du statut civil de ses parents (ATF 144 III 377 consid. 7.1.1; arrêt du Tribunal fédéral 5A_830/2018 du 21 mai 2019 consid. 4.1 et les références citées). Le calcul de la contribution de prise en charge se fera sur la base du montant qui, selon les cas, manque à un parent pour couvrir ses propres frais de subsistance (arrêt du Tribunal fédéral 5A_968/2017 du 25 septembre 2018 consid. 3.1.1).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Le législateur n'a pas arrêté de mode de calcul pour fixer la contribution à l'entretien d'enfants mineurs (ATF 128 III 411 consid. 3.2.2). L'une des méthodes préconisées par la doctrine et considérée comme conforme au droit fédéral est celle dite du minimum vital. Les charges d'un enfant, tout comme celles de ses parents, comprennent un montant de base selon les normes d'insaisissabilité, une participation aux frais du logement, sa prime d'assurance maladie, les frais de transports publics et d'autres frais effectifs. Le montant de base mensuel comprend l'alimentation, les vêtements et le linge y compris leur entretien, les soins corporels et de santé, l'entretien du logement, les frais culturels ainsi que les dépenses pour l'éclairage, le courant électrique ou le gaz pour la cuisine (Normes d'insaisissabilité pour l'année 2019, RS E 3 60.04, I). La part de frais médicaux non couverte par l'assurance et la</w:t>
      </w:r>
    </w:p>
    <w:p>
      <w:r>
        <w:t>- 16/26 -</w:t>
      </w:r>
    </w:p>
    <w:p>
      <w:r>
        <w:t>C/4364/2014 franchise peuvent être prises en compte si des frais effectifs réguliers sont établis (arrêt du Tribunal fédéral 5A_557/2015 du 1er février 2016 consid. 4.2; BASTONS BULLETTI, L'entretien après divorce : méthode de calcul, montant, durée et limites in SJ 2007 II p. 77 ss, p. 86 et 102; ACJC/1179/2013 du 27 septembre 2013 consid. 6.1; ACJC/1261/2015 du 16 octobre 2015 consid. 4.1). Il est nécessaire de répartir entre le parent gardien et les enfants le coût du logement. Pour ce faire, il est possible de prendre en considération le 20% du loyer raisonnable à la charge d'un seul enfant et le 30% de ce loyer à la charge de deux enfants (BASTONS BULLETTI, op. cit., p. 102, note marginale 140; arrêt du Tribunal fédéral 5A_464/2012 du 30 novembre 2012 consid. 4.6.3). Les allocations familiales ne sont pas prises en compte dans le calcul du revenu du parent qui les reçoit, mais doivent être déduites des coûts d'entretien de l'enfant (ATF 137 III 59 consid. 4.2.3; 128 III 305 consid. 4b; arrêt du Tribunal fédéral 5A_470/2016 du 13 décembre 2016 consid. 6.1.2 et la référence citée).</w:t>
      </w:r>
    </w:p>
    <w:p>
      <w:r>
        <w:rPr>
          <w:b/>
        </w:rPr>
        <w:t>E. 4.2</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 La détermination de la contribution d'entretien relève du pouvoir d'appréciation du juge du fait, qui applique les règles du droit et de l'équité (art. 4 CC; ATF 134 III 577 consid. 4; 127 III 136 consid. 3a). Une contribution d'entretien est due en vertu du principe de la solidarité si le mariage a eu une influence concrète sur les conditions d'existence de l'époux ("lebensprägende Ehe"),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une position de confiance digne de protection créée par le mariage peut être retenue pour d'autres motifs également (arrêt du Tribunal fédéral 5A_968/2017 du 25 septembre 2018 consid. 4.1 et les références citées). Un tel mariage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w:t>
      </w:r>
    </w:p>
    <w:p>
      <w:r>
        <w:t>- 17/26 -</w:t>
      </w:r>
    </w:p>
    <w:p>
      <w:r>
        <w:t>C/4364/2014 de pourvoir lui-même à son entretien convenable et si son conjoint dispose d'une capacité contributive (ATF 137 III 102 consid. 4.1.2; 134 III 145 consid. 4). Selon les circonstances, il pourra être ainsi contraint d'exercer une activité lucrative ou d'augmenter son taux de travail (ATF 137 III 102 consid. 4.1.2; 134 III 145 consid. 4; 130 III 537 consid. 3.2; arrêt du Tribunal fédéral 5A_968/2017 du 25 septembre 2018 consid. 4.1 et la référence citée).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arrêt du Tribunal fédéral 5A_968/2017 du 25 septembre 2018 consid. 4.1). Lorsque l'utilisation d'une automobile n'est pas indispensable à l'exercice d'une profession, les frais et dépenses y relatifs retenus à teneur des normes d'insaisissabilité sont ceux correspondant à l'emploi des transports publics (Normes d'insaisissabilité, op. cit., IV d). La charge fiscale doit être actualisée (arrêts du Tribunal fédéral 5A_955/2015 du 29 août 2016 consid. 3 et 5A_581/2014 du 3 novembre 2014 consid. 3). La prime d'assurance RC ménage doit être prise en considération puisque le bail paritaire romand impose au locataire la conclusion d'une assurance responsabilité civile et que les assureurs proposent en règle générale une assurance combinant les deux risques (ACJC/457/2013 du 12 avril 2013 consid. 3.2).</w:t>
      </w:r>
    </w:p>
    <w:p>
      <w:r>
        <w:rPr>
          <w:b/>
        </w:rPr>
        <w:t>E. 4.3</w:t>
      </w:r>
    </w:p>
    <w:p>
      <w:r>
        <w:t>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fixer le dies a quo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L'obligation de verser une contribution prend fin en principe au jour où le débiteur atteint l'âge de l'AVS (arrêt du Tribunal fédéral 5A_18/2011 du 1er juin 2011 consid. 6).</w:t>
      </w:r>
    </w:p>
    <w:p>
      <w:r>
        <w:t>- 18/26 -</w:t>
      </w:r>
    </w:p>
    <w:p>
      <w:r>
        <w:t>C/4364/2014 4.4.1 Le revenu mensuel net de l'intimé (12'851 fr.) et ses charges mensuelles (5'782 fr.) sont demeurées inchangées, de sorte que son disponible est de 7'069 fr. par mois. 4.4.2 L'appelante exerce une activité lucrative à 75% comme caissière-comptable depuis le 1er février 2019, de sorte qu'il ne peut pas être exigé d'elle qu'elle poursuive des missions ponctuelles pour l'administration communale de C______. Son revenu mensuel net sera dès lors retenu à concurrence de 4'527 fr. dès cette date. Elle n'a pas démontré que l'utilisation d'un véhicule et d'une place de parc louée par son employeur seraient indispensables à l'exercice de sa profession. En effet, elle peut se rendre de son domicile jusqu'à son travail en transports publics, de sorte que seuls ces frais de transports seront pris en considération. La charge fiscale de l'appelante doit être actualisée, compte tenu de son nouvel emploi. Il ressort de la calculette d'impôts de l'Administration fédérale (disponible sur le site internet &lt;http://www.estv2.admin.ch/f/dienstleistungen/steuer- rechner/steuerrechner.htm&gt;) que sa charge mensuelle d'impôts peut être estimée à 219 fr. par mois (ICC : 2'545 fr. + IFD : 78 fr. = 2'623 fr. ÷ 12 mois pour une famille monoparentale domiciliée à C______, revenu annuel brut de l'activité lucrative : 84'626 fr., autres revenus, soit les contributions mensuelles des enfants en 28'620 fr. [1'050 fr. pour la cadette, cf. consid. 4.4.3 ci-dessous et 1'335 fr. pour l'aînée, soit 2'385 fr. x 12], dont à déduire les contributions à la caisse de pension de 4'267 fr.). La protection juridique n'est pas une assurance obligatoire, de sorte que la prime y relative ne sera pas prise en considération. Le paiement régulier des mensualités ainsi que le solde encore dû à l'assistance judiciaire n'ont pas été établis, de sorte qu'ils ne seront pas retenus. Les mensualités de remboursement des dettes seront également écartés faute pour l'appelante d'avoir démontré que celles-ci avaient été contractées au titre de l'entretien de la famille. En revanche, l'assurance RC ménage sera incluse puisque le bail paritaire romand en impose la conclusion et que la prime y relative comprend ces deux risques. Ses frais médicaux seront inclus à concurrence de 62 fr. Il ne se justifie toutefois pas de prendre en considération les tickets de pharmacie de la pièce n° 32, qui concernent l'entretien courant et qui ont été produits en vrac pour elle et ses enfants. Ses charges mensuelles totalisent ainsi 3'862 fr. (base mensuelle d'entretien : 1'350 fr., 70% du loyer de 2'316 fr. : 1'621 fr., assurance-maladie : 519 fr., frais médicaux : 62 fr., transports publics : 70 fr. et impôts ICC et IFD estimés à 219 fr., assurance ménage et responsabilité civile: 21 fr.).</w:t>
      </w:r>
    </w:p>
    <w:p>
      <w:r>
        <w:t>- 19/26 -</w:t>
      </w:r>
    </w:p>
    <w:p>
      <w:r>
        <w:t>C/4364/2014 4.4.3 Pour la cadette, les frais d'école et les frais particulier d'alimentation en raison des allergies dont elle souffre ne sont pas établis, de sorte qu'ils ne sont pas retenus. L'argent de poche, les frais de loisirs et d'habits sont déjà compris dans sa base mensuelle d'entretien. Par identité de motifs avec ceux exposés ci-dessus, les tickets de pharmacie ne seront pas pris en considération. Les charges mensuelles de la cadette totalisent ainsi 1'352 fr. respectivement 1'052 fr. après déduction de 300 fr. d'allocations familiales (base mensuelle d'entretien : 600 fr., part de 15% du loyer de 2'316 fr. : 347 fr., assurance- maladie : 213 fr., transports publics : 45 fr., activités sportives : 22 fr. et frais médicaux moyens non remboursés [94 fr. + 156 fr. = 250 fr. ÷ 2] : 125 fr.). L'appelante couvrant ses charges mensuelles du minimum vital élargi, aucune contribution de prise en charge ne sera ajoutée aux besoins courants d'entretien de l'enfant. La contribution mensuelle due à la cadette sera ainsi arrêtée à 1'050 fr. en chiffres ronds. Elle sera réduite à 950 fr. dès ses 16 ans (art. 58 al. 2 CPC) vu l'augmentation de 100 fr. des allocations familiales. Compte tenu des mesures provisionnelles en cours, d'une part, et du nouvel emploi de l'appelante d'autre part, cette contribution mensuelle d'entretien sera due depuis le 1er juin 2019, premier jour du mois qui suit la date d'entrée en force du principe du divorce le 13 mai 2019. Il ne se justifie pas de fixer une date d'échéance de son paiement, l'appelante n'ayant pas reproché à l'intimé de les verser tardivement. Les sommes déjà versées sur mesures provisionnelles pourront être déduites de cette contribution mensuelle d'entretien. Le chiffre 8 du dispositif du jugement entrepris sera dès lors modifié dans ce sens. 4.4.4 Les charges mensuelles de l'aînée totalisent 1'473 fr., respectivement 1'073 fr. après déduction de 400 fr. d'allocations familiales (base mensuelle d'entretien : 600 fr., 15% du loyer de 2'316 fr. : 347 fr., assurance-maladie obligatoire [4'972 fr. 80 ÷ 12 mois] : 414 fr., transports publics : 45 fr., matériel scolaire : 24 fr. et frais médicaux moyens non remboursés [8 fr. + 77 fr. = 85 fr. ÷ 2] : 43 fr.). Par identité de motifs, les tickets de pharmacie ne seront pas pris en considération. L'aînée et l'intimé ont conclu au maintien de la contribution mensuelle d'entretien fixée à 1'335 fr., de sorte que celle-ci sera confirmée (art. 58 al. 1 CPC). Ce montant, supérieur d'à peine 300 fr. à celui dû pour l'entretien de la cadette, se justifie compte tenu de la différence d'âge de huit ans entre les sœurs.</w:t>
      </w:r>
    </w:p>
    <w:p>
      <w:r>
        <w:t>- 20/26 -</w:t>
      </w:r>
    </w:p>
    <w:p>
      <w:r>
        <w:t>C/4364/2014 Le chiffre 9 du dispositif du jugement entrepris sera toutefois modifié afin de tenir compte du dies a quo de cette contribution mensuelle d'entretien au 1er juin 2019. 4.4.5 Compte tenu de la durée du mariage, de plus de 14 ans (du 2 août 1997 jusqu'à la séparation du 1er janvier 2012), de la naissance de deux enfants et de la répartition traditionnelle des rôles adoptée par les conjoints durant la vie commune, il se justifie d'allouer à l'appelante une contribution mensuelle d'entretien sur la base de l'art. 125 CC. Il est en effet manifeste que le mariage a affecté la capacité de gain de l'appelante, celle-ci n'ayant exercé qu'une activité lucrative très partielle depuis la naissance de ses enfants. Elle a dès lors droit à une contribution dont la limite supérieure correspond au standard de vie supérieur choisi par les parties durant la vie commune. Le disponible de l'intimé, après paiement des contributions mensuelles d'entretien dues à ses filles, est de 4'684 fr. par mois (7'069 fr. – 1'050 fr. – 1'335 fr.), alors que celui de l'appelante est de 665 fr. (4'527 fr. – 3'862 fr). Il existe donc une disparité importante entre les disponibles mensuels des ex- conjoints, à laquelle il convient de remédier par le partage du disponible du couple entre les parties, comme l'a fait le premier juge sans que cette méthode ne soit remise en cause en appel, afin d'assurer le maintien du standard de vie antérieur. Il sera ainsi fait droit aux conclusions de l'appelante en versement d'une contribution d'entretien de 2'000 fr. par mois (4'684 fr. + 665 fr. = 5'349 fr./2 = 2'674 fr. 50 – 665 fr.), et ce depuis le 1er juin 2019 (premier jour du mois qui suit la date d'entrée en force du principe du divorce le 13 mai 2019). L'appelante, âgée aujourd'hui de 52 ans, vient de reprendre une activité lucrative à 75% et assume la garde de fait de sa fille cadette, qui sera âgée de 12 ans révolus en décembre 2019, de sorte qu'il ne peut pas être attendu d'elle qu'elle augmente encore son taux d'activité. Cela étant, il pourra être attendu d'elle qu'elle travaille à 100% après les 16 ans révolus de la cadette, soit dès le 1er janvier 2024. Elle pourra alors percevoir un revenu mensuel net de l'ordre de 6'000 fr. (4'527 fr. x 100% ÷ 75%), ce qui lui laissera un disponible mensuel de 2'138 fr. La contribution d'entretien due par l'intimé pourra alors être réduite à 1'270 fr. (disponible de l'intimé : 4'684 fr. + celui de l'appelante porté à 2'138 fr. = 6'822 fr. ÷ 2 = 3'411 fr. – 2'138 fr. = 1'273 fr.). Le chiffre 13 du dispositif du jugement entrepris sera dès lors modifié dans ce sens.</w:t>
      </w:r>
    </w:p>
    <w:p>
      <w:r>
        <w:rPr>
          <w:b/>
        </w:rPr>
        <w:t>E. 5</w:t>
      </w:r>
    </w:p>
    <w:p>
      <w:r>
        <w:t>L'appelante reproche au premier juge d'avoir retenu au chiffre 10 du dispositif de son jugement que les parties s'engageaient à prendre en charge par moitié les frais extraordinaires des enfants, sans préciser la teneur de ceux-ci, un désaccord subsistant entre elles à cet égard.</w:t>
      </w:r>
    </w:p>
    <w:p>
      <w:r>
        <w:t>- 21/26 -</w:t>
      </w:r>
    </w:p>
    <w:p>
      <w:r>
        <w:t>C/4364/2014 Elle conclut à ce qu'il soit dit que ceux-ci comprennent les frais de santé non remboursés par l'assurance-maladie, notamment les frais de médecine alternative, la moitié des frais de pharmacie et les frais dentaires, ainsi que les frais relatifs aux études, notamment les voyages d'études.</w:t>
      </w:r>
    </w:p>
    <w:p>
      <w:r>
        <w:rPr>
          <w:b/>
        </w:rPr>
        <w:t>E. 5.1</w:t>
      </w:r>
    </w:p>
    <w:p>
      <w:r>
        <w:t>A teneur de l'art. 286 al. 3 CC, le juge peut contraindre les parents à verser une contribution spéciale lorsque des besoins extraordinaires imprévus de l'enfant le requièrent. Selon la jurisprudence, les frais visés par cette disposition doivent couvrir des besoins spécifiques, limités dans le temps, qui n'ont pas été pris en considération lors de la fixation de la contribution ordinaire d'entretien et qui entraînent une charge financière que celle-ci ne permet pas de couvrir (arrêt du Tribunal fédéral 5A_760/2017 du 5 septembre 2017 consid. 6.2).</w:t>
      </w:r>
    </w:p>
    <w:p>
      <w:r>
        <w:rPr>
          <w:b/>
        </w:rPr>
        <w:t>E. 5.2</w:t>
      </w:r>
    </w:p>
    <w:p>
      <w:r>
        <w:t>En l'espèce, les parties se sont entendues sur la répartition par moitié des frais extraordinaires des enfants, ce dont il leur a été donné acte. Le principe de cette répartition n'est pas remis en cause en appel, de sorte qu'il sera confirmé. En revanche, il ne peut être donné suite aux conclusions de l'appelante visant à définir abstraitement ces frais. A cet égard, il a été tenu compte dans le calcul des charges des enfants des frais médicaux non couverts à concurrence de 125 fr. pour la cadette et de 43 fr. pour l'aînée, de sorte qu'il ne s'agit pas de frais extraordinaires au sens de la disposition précitée. Si l'un ou l'autre des parents devait assumer d'autres frais médicaux non couverts, imprévisibles et limités dans le temps, il lui appartiendrait cas échéant de saisir le juge pour en obtenir paiement de la moitié par l'autre partie, si celle-ci-ci s'y opposait, en application de l'art. 286 al. 3 CC précité. Il a été retenu que les frais de pharmacie n'étaient pas suffisamment établis. En tant que tels et sans autre précision, ils ne peuvent être abstraitement définis comme des frais extraordinaires. Il en va de même des frais de dentiste ou de voyages d'études qui ne sont en l'état pas concrétisés. Une fois ceux-ci survenus et pour autant qu'ils soient justifiés, imprévisibles et limités, ils pourront être répartis par moitié entre les parties, cas échéant par la saisine du juge. Il résulte de ce qui précède que le chiffre 10 du dispositif du jugement querellé sera confirmé.</w:t>
      </w:r>
    </w:p>
    <w:p>
      <w:r>
        <w:rPr>
          <w:b/>
        </w:rPr>
        <w:t>E. 6</w:t>
      </w:r>
    </w:p>
    <w:p>
      <w:r>
        <w:t>L'appelante persiste à solliciter un partage des prestations de sortie accumulées durant le mariage dans la proportion "75% / 25%" en sa faveur. Elle soutient que la prestation de sortie y relative accumulée par son époux devrait être celle au 31 décembre 2016, d'un montant de 310'807 fr. 70, et non pas celle de 232'672 fr. 45 au 4 mars 2014 au jour de la litispendance. Elle reproche au Tribunal d'avoir appliqué rétroactivement le nouveau droit sur la prévoyance</w:t>
      </w:r>
    </w:p>
    <w:p>
      <w:r>
        <w:t>- 22/26 -</w:t>
      </w:r>
    </w:p>
    <w:p>
      <w:r>
        <w:t>C/4364/2014 professionnelle avec pour conséquence de l'avoir privée de près de trois ans de cotisations LPP. Elle fait valoir que la procédure a été particulièrement longue et que le Tribunal a rendu le jugement presque un an après avoir gardé la cause à juger.</w:t>
      </w:r>
    </w:p>
    <w:p>
      <w:r>
        <w:t>L'intimé conclut à la confirmation du jugement entrepris, lequel a renoncé à partager la prestation de sortie de l'appelante, puis lui a attribué la moitié de celle de l'intimé.</w:t>
      </w:r>
    </w:p>
    <w:p>
      <w:r>
        <w:rPr>
          <w:b/>
        </w:rPr>
        <w:t>E. 6.1</w:t>
      </w:r>
    </w:p>
    <w:p>
      <w:r>
        <w:t>La modification du Code civil suisse en matière de partage de la prévoyance professionnelle en cas de divorce du 19 juin 2015 est entrée en vigueur le 1er janvier 2017 (RO 2016 2313). Les procès en divorce pendants devant une instance cantonale sont soumis au nouveau droit dès cette date (art. 7d al. 2 Titre final CC). Le texte clair de l'art. 7d al. 2 Tit. fin. CC ne souffre pas d'interprétation. Seul est déterminant le fait que la décision par laquelle le juge a ordonné le partage des prestations de sortie a été prise après le 1er janvier 2017 (arrêt du Tribunal fédéral 5A_819/2017 du 20 mars 2018 consid. 10.2.2 et la référence citée). Les motifs pour lesquels la procédure a perduré au-delà de l'entrée en vigueur du nouveau droit ne sont pas des circonstances pertinentes pour l'application du droit transitoire (arrêt du Tribunal fédéral 5A_819/2017 du 20 mars 2018 consid. 10.2.2). Les prétentions de prévoyance professionnelle acquises durant le mariage et jusqu'à l'introduction de la procédure de divorce sont partagées entre les époux (art. 122 CC). Selon l'art. 123 CC, les prestations de sortie acquises, y compris les avoirs de libre passage et les versements anticipés pour la propriété du logement, sont partagées par moitié (al. 1), à l'exception des versements uniques issus de biens propres de par la loi (al. 2), étant précisé que les prestations de sortie à partager se calculent conformément aux art. 15 à 17 et 22a ou 22b de la loi du 17 décembre 1993 sur le libre passage (al. 3). Le juge peut ordonner l'attribution de plus de la moitié de la prestation de sortie au conjoint créancier lorsque celui-ci prend en charge des enfants communs après le divorce et que le conjoint débiteur dispose encore d'une prévoyance vieillesse et invalidité adéquate (art. 124b al. 3 CC). Cette disposition permet de tenir compte du fait que le conjoint créancier, s'il prend en charge les enfants communs, ne pourra pas forcément exercer une activité professionnelle à temps plein après le divorce et aura par conséquent du mal à se constituer une prévoyance "digne de ce nom". Le partage asymétrique peut permettre de compenser le défaut de prévoyance consécutif au divorce, à la condition toutefois que le conjoint grevé continue de disposer d'une prévoyance vieillesse et invalidité adéquate. Le juge</w:t>
      </w:r>
    </w:p>
    <w:p>
      <w:r>
        <w:t>- 23/26 -</w:t>
      </w:r>
    </w:p>
    <w:p>
      <w:r>
        <w:t>C/4364/2014 appliquera les mêmes principes pour déterminer si la prévoyance vieillesse et invalidité du conjoint débiteur est adéquate que pour évaluer les effets de la renonciation des époux au partage par moitié au sens de l'art. 124b al. 1 CC (Message du Conseil fédéral, in FF 2013 4341, p. 4372; ACJC/1174/2018 du 31 août 2018 consid. 13.1).</w:t>
      </w:r>
    </w:p>
    <w:p>
      <w:r>
        <w:rPr>
          <w:b/>
        </w:rPr>
        <w:t>E. 6.2</w:t>
      </w:r>
    </w:p>
    <w:p>
      <w:r>
        <w:t>En l'espèce, la procédure était pendante devant le Tribunal le 1er janvier 2017, de sorte que le partage de la prévoyance professionnelle des parties est régi par le nouveau droit depuis cette date. Il est constant que les parties ont cotisé auprès d'une institution de prévoyance professionnelle en Suisse pendant le mariage et qu'aucun cas de prévoyance n'est survenu à ce jour. En application du nouvel art. 122 CC, les avoirs de prévoyance professionnelle à partager sont ceux accumulés entre le 2 août 1997 (date de la célébration du mariage) et le 4 mars 2014 (date de l'expédition de la demande en divorce). A cette dernière date, la prestation de sortie accumulée par l'intimé depuis le mariage s'élevait à 232'672 fr. 45 et celle de l'appelante à 17'216 fr. 50. Cette dernière, âgée de 52 ans révolus, cotise à nouveau au deuxième pilier depuis le 1er février 2019 à la suite de son nouvel emploi exercé au taux d'activité de 75%. Elle sera ainsi en mesure de se constituer une prestation de sortie jusqu'à l'âge de sa retraite, étant rappelé qu'il lui appartiendra d'augmenter son taux d'activité dès janvier 2024, et partant, le montant de ses cotisations. En conséquence, il ne justifie pas de déroger au principe du partage par moitié de la prestation de sortie de l'intimé, ce d'autant moins qu'il a déjà été renoncé au partage de la prestation de sortie de l'appelante. Le chiffre 12 du dispositif du jugement entrepris sera confirmé.</w:t>
      </w:r>
    </w:p>
    <w:p>
      <w:r>
        <w:rPr>
          <w:b/>
        </w:rPr>
        <w:t>E. 7.1</w:t>
      </w:r>
    </w:p>
    <w:p>
      <w:r>
        <w:t>Les frais fixés par le Tribunal, conformes au Règlement fixant le tarif des frais en matière civile (RTFMC), n'ont pas été contestés en appel, de même que leur répartition et l'absence d'allocation de dépens.</w:t>
      </w:r>
    </w:p>
    <w:p>
      <w:r>
        <w:rPr>
          <w:b/>
        </w:rPr>
        <w:t>E. 7.2</w:t>
      </w:r>
    </w:p>
    <w:p>
      <w:r>
        <w:t>Les frais judiciaires de l'appel (3'750 fr.) et de l'appel joint (2'000 fr.) seront arrêtés à 5'750 fr. (art. 30 et 35 RTFMC) et comprennent ceux de l'ordonnance présidentielle du 9 octobre 2019. L'appelante a obtenu gain de cause pour l'essentiel sur la règlementation du droit de visite, ainsi que sur le principe et le montant de sa contribution d'entretien. Elle a été déboutée pour le surplus. L'intimé a obtenu gain de cause sur la contribution d'entretien due à l'aînée et partiellement gain de cause sur celle due à la cadette et a obtenu la confirmation du jugement entrepris s'agissant du partage de sa prestation de sortie. Vu l'issue du litige, il se justifie que chacune des parties assume ses propres frais d'appel. Ceux- ci seront partiellement compensés avec l'avance en 2'000 fr. versée par l'intimé,</w:t>
      </w:r>
    </w:p>
    <w:p>
      <w:r>
        <w:t>- 24/26 -</w:t>
      </w:r>
    </w:p>
    <w:p>
      <w:r>
        <w:t>C/4364/2014 qui reste acquise à l'Etat. La part des frais incombant à l'appelante sera provisoirement supportée par l'Etat de Genève, compte tenu du bénéfice de l'assistance judiciaire. Au vu de la nature familiale du litige, chaque partie supportera ses propres dépens d'appel (art. 107 al. 1 let. c CPC). * * * * *</w:t>
      </w:r>
    </w:p>
    <w:p>
      <w:r>
        <w:t>- 25/26 -</w:t>
      </w:r>
    </w:p>
    <w:p>
      <w:r>
        <w:t>C/4364/2014</w:t>
      </w:r>
    </w:p>
    <w:p>
      <w:r>
        <w:t>PAR CES MOTIFS, La Chambre civile : A la forme : Déclare recevable l'appel formé par A______ et l'appel joint interjeté par B______ contre le jugement JTPI/17675/2018 rendu le 12 novembre 2018 par le Tribunal de première instance dans la cause C/4364/2014-11. Au fond : Annule les chiffres 6, 8, 9 et 13 du dispositif du jugement entrepris et statuant à nouveau sur ces points : Réserve à B______ un large droit de visite devant d'exercer, sauf accord contraire des parties, du mercredi soir à 18h30 au jeudi matin, retour à l'école (respectivement chez sa mère lors de congés), plus un week-end sur deux, du vendredi soir à 18h30 au dimanche soir à 20h, et la moitié des vacances scolaires et jours fériés, et, alternativement, à Noël ou Nouvel-An, février ou octobre, Pâques ou Pentecôte, l'Ascension ou le Jeûne Genevois, juillet ou août, avec un préavis minimum de deux mois. Condamne B______ à verser en mains de A______, par mois et d'avance, allocations familiales non comprises, depuis le 1er juin 2019, la somme de 1'050 fr. à titre de contribution à l'entretien de l'enfant D______ jusqu'aux 15 ans révolus, puis de 950 fr. dès 16 ans révolus, et jusqu'à la majorité de l'enfant, voire au-delà si elle poursuit des études ou une formation sérieuse mais jusqu'à 25 ans au maximum. Condamne B______ à payer à E______, par mois et d'avance, allocations familiales ou de formation non comprises, depuis le 1er juin 2019, la somme de 1'335 fr. à titre de contribution à son entretien et jusqu'à la fin de ses études pour autant que celles-ci soient régulièrement suivies et s'achèvent dans des délais normaux. Condamne B______ à payer à A______, par mois et d'avance, la somme de 2'000 fr. à titre de contribution à son entretien du 1er juin 2019 au 31 décembre 2023, puis de 1'270 dès le 1er janvier 2024 jusqu'à ce qu'il atteigne l'âge de la retraite. Confirme le jugement entrepris pour le surplus. Déboute les parties de toutes autres conclusions. Sur les frais :</w:t>
      </w:r>
    </w:p>
    <w:p>
      <w:r>
        <w:t>- 26/26 -</w:t>
      </w:r>
    </w:p>
    <w:p>
      <w:r>
        <w:t>C/4364/2014 Arrête les frais judiciaires des deux appels et de l'ordonnance présidentielle à 5'750 fr. et les compense partiellement avec l'avance de frais versée par B______, en 2'000 fr., qui reste acquise à l'Etat de Genève. Laisse les frais de l'appel joint, soit 2'000 fr., à la charge de B______. Dit que la part des frais d'appel de A______, en 3'750 fr., est provisoirement supportée par l'Etat de Genève, compte tenu du bénéfice de l'assistance judiciaire. Dit qu'il n'est pas alloué de dépens. Siégeant : Monsieur Cédric-Laurent MICHEL, président; Madame Pauline ERARD et Madame Paola CAMPOMAGNANI, juges; Madame Christel HENZELIN, greffière. 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