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ACJC/173/2021 vom 8. Februar 2021</w:t>
      </w:r>
    </w:p>
    <w:p>
      <w:r>
        <w:t>GE Cour de justice, 2021-02-08, FR</w:t>
      </w:r>
    </w:p>
    <w:p>
      <w:r>
        <w:rPr>
          <w:b/>
        </w:rPr>
        <w:t xml:space="preserve">Quelle: </w:t>
      </w:r>
      <w:r>
        <w:t>https://mcp.opencaselaw.ch/entscheid/ge_gerichte_ACJC_173_2021</w:t>
      </w:r>
    </w:p>
    <w:p>
      <w:r>
        <w:t>FR: GE_GERICHTE ACJC/173/2021 du 8 février 2021</w:t>
      </w:r>
    </w:p>
    <w:p>
      <w:r>
        <w:t>IT: GE_GERICHTE ACJC/173/2021 del 8 febbraio 2021</w:t>
      </w:r>
    </w:p>
    <w:p>
      <w:pPr>
        <w:pStyle w:val="Heading2"/>
      </w:pPr>
      <w:r>
        <w:t>Erwägungen</w:t>
      </w:r>
    </w:p>
    <w:p>
      <w:r>
        <w:rPr>
          <w:b/>
        </w:rPr>
        <w:t>E. 7</w:t>
      </w:r>
    </w:p>
    <w:p>
      <w:r>
        <w:t>septembre 2020, l'allégation de l'intimée, selon laquelle le versement litigieux n'était intervenu qu'au début du mois de février 2020. Il n'explique pas non plus ce qui l'aurait empêché d'alléguer, après avoir pris connaissance de la pièce déposée par l'intimée, qu'il avait transmis l'ordre de virement à sa banque le 30 janvier 2020, en demandant un délai pour produire le courriel en attestant. Il ne démontre dès lors pas qu'il n'a pas été en mesure d'alléguer ce fait et de produire cette pièce en première instance malgré la diligence requise.</w:t>
      </w:r>
    </w:p>
    <w:p>
      <w:r>
        <w:t>- 9/15 -</w:t>
      </w:r>
    </w:p>
    <w:p>
      <w:r>
        <w:t>C/10156/2020 La pièce 30 et l'allégué qui s'y rapporte sont par conséquent irrecevables, étant au surplus précisé qu'ils ne sont pas déterminants pour l'issue du litige. Concernant les pièces 31 à 35, le recourant se borne à affirmer, dans son recours, que l'art. 278 al. 3 LP lui permettrait d'alléguer des faits nouveaux devant la Cour. Il ne tente à aucun moment de démontrer, dans cette écriture, que les conditions auxquelles l'art. 317 al. 1 CPC soumet l'apport de "pseudo nova" devant l'autorité de recours seraient réalisées. Ce n'est que dans le cadre de sa réplique qu'il expose qu'il ne pouvait pas produire les pièces susmentionnées devant le Tribunal car le délai pour déposer son action au fond dans la procédure d'arbitrage ouverte à l'encontre de l'intimée à F______ était fixé au 2 octobre 2020, soit après l'audience tenue devant le Tribunal le 7 septembre 2020, et que l'invocation de ces moyens aurait altéré sa position procédurale dans cet arbitrage. Cette argumentation, ainsi que la production du courrier du conseil britannique de l'appelant (pièce 36 app.), sont toutefois tardives, faute d'avoir figuré dans le recours; elles ne sauraient dès lors être prises en considération (ATF 142 III 413 du 29 mai 2016 consid. 2.2.4 et les références). En toute hypothèse, et comme le souligne à juste titre l'intimée dans sa duplique, le souhait de l'appelant de se ménager un effet de surprise, en ne divulguant les pièces susmentionnées que dans le cadre de la procédure d'arbitrage intentée à F______, ne lui permettait pas de renoncer à produire ces pièces devant le Tribunal, alors qu'elles étaient déjà en sa possession (arrêt du Tribunal fédéral 5A_695/2012 du 20 mars 2013 consid. 4.2.1; JEANDIN, in CPC, Commentaire romand, 2ème éd. 2019, n. 8b ad art. 317 CPC). Ces pièces sont par conséquent irrecevables, de même que les faits qui s'y rapportent (soit les allégués 37, 49, 50, 55, 56, 57, 58 et 60). Le recourant n'explique pas non plus les raisons pour lesquelles il n'a pas allégué les faits figurant aux paragraphes 34 et 47 de son recours devant le Tribunal. Ces faits sont dès lors également irrecevables. 3.2.2 Les "pseudo nova" invoqués par le recourant étant irrecevables, les pièces produites par l'intimée afin de répondre au recours, ainsi que les faits qui s'y rapportent, ne seront - à l'exception des pièces 21 et 31 dont la précitée n'a eu connaissance qu'en date des 6 octobre et 10 novembre 2020, et qui visent donc de "vrais nova" -, pas pris en considération. Il en ira de même des nouveaux allégués et des nouvelles pièces produites par les parties à l'appui de leur réplique et duplique respectives, dès lors que ceux-ci visent à compléter, respectivement à répondre à des "pseudo nova" ne remplissant pas les conditions de recevabilité de l'art. 317 al. 1 CPC. Au vu de ce qui précède, l'état de fait figurant ci-dessus (cf. En fait, let. C) correspond à celui établi par le Tribunal.</w:t>
      </w:r>
    </w:p>
    <w:p>
      <w:r>
        <w:t>- 10/15 -</w:t>
      </w:r>
    </w:p>
    <w:p>
      <w:r>
        <w:t>C/10156/2020 4. 4.1 Aux termes du jugement entrepris, le Tribunal a considéré que les pièces versées à la procédure, soit les messages échangés entre l'intimée, l'employé du recourant et ce dernier, ainsi que les photographies du logement, rendaient vraisemblable que l'intimée avait emménagé de manière effective avec ses enfants au 2______ avant le 31 janvier 2020, et fait de ce logement le centre de son existence et de celle de ses enfants. Les démarches entreprises par l'intimée en vue de changer ses enfants d'école constituaient un indice supplémentaire à cet égard, tout comme le versement effectué par le recourant au début du mois de février 2020, lequel ne serait vraisemblablement pas intervenu si l'intimée n'avait pas emménagé. Les nombreux messages échangés par les parties entre février et début juin 2020 rendaient par ailleurs vraisemblable qu'elles entretenaient une relation en adéquation avec leurs intentions formalisées dans le "Cohabitation Agreement". Le fait que l'intimée ait requis l'autorisation écrite du recourant de pouvoir résider dans son ancien logement pendant la crise liée au Covid-19 renforçait encore la vraisemblance que le contrat déployait ses effets entre les parties. Le recourant n'avait en outre produit aucune pièce propre à rendre vraisemblable que l'intimée n'aurait pas été de bonne foi lorsqu'elle avait accepté sa demande en mariage. Il ressortait au contraire du dossier que les parties avaient largement célébré leurs fiançailles et aucune pièce n'accréditait le fait que l'intimée ait continué d'entretenir une relation avec L______ après la signature de l'accord de cohabitation. Le recourant n'avait dès lors pas rendu vraisemblables les faits propres à fonder sa créance en enrichissement illégitime. L'intimée avait en revanche rendu vraisemblable que l'accord en application duquel elle avait perçu les sommes litigieuses était en vigueur jusqu'à ce que le recourant le résilie le 5 juin 2020. L'opposition au séquestre devait dès lors être admise et le séquestre levé. 4.2 Le recourant reproche au Tribunal d'avoir considéré que la condition suspensive de la cohabitation avant le 31 janvier 2020 s'était réalisée. L'intimée n'avait en effet déménagé qu'une maigre partie de ses affaires au 2______, conservant de nombreux effets personnels dans son ancien logement. Les photographies versées à la procédure, notamment celles des chambres des enfants, montrant des aménagements qu'il avait réalisés, ne permettaient pas non plus de retenir que l'emménagement avait eu lieu. L'enthousiasme qu'il avait manifesté en date des 31 janvier et 1er février 2020 à l'issue du déménagement ne signifiait pas non plus que l'intimée avait respecté son obligation. Il en allait de même du virement de 2'500'000 GBP qu'il avait ordonné, l'instruction ayant été donnée avant le déménagement. Il s'ensuivait que l'accord de cohabitation, n'était pas entré en vigueur. La cohabitation exigée par l'accord impliquait également que les parties mènent une vie de famille durable, condition que le Tribunal n'avait pas examinée. Or,</w:t>
      </w:r>
    </w:p>
    <w:p>
      <w:r>
        <w:t>- 11/15 -</w:t>
      </w:r>
    </w:p>
    <w:p>
      <w:r>
        <w:t>C/10156/2020 l'intimée refusait d'accorder du temps au recourant et lui demandait de l'avertir plusieurs jours à l'avance de son arrivée à F______. Elle continuait de séjourner dans son ancien logement, à l'adresse duquel elle était restée domiciliée et où elle continuait de recevoir son courrier. Elle avait même demandé à pouvoir retourner dans ce logement durant la crise du Covid-19. Elle n'avait entamé des démarches pour changer ses enfants d'école que le 19 mai 2020 et n'avait effectué aucun préparatif en vue du mariage prévu en septembre 2020. Les messages échangés par les parties montraient en outre que la relation était à sens unique. L'intimée avait par ailleurs continué de fréquenter secrètement L______. La cohabitation exigée par l'accord du 10 décembre 2019 n'avait dès lors pas eu lieu, de sorte que celui-ci ne pouvait pas produire d'effets. Le recourant ayant été trompé par l'intimée, celle-ci n'ayant manifestement aucune intention de mener une relation durable avec lui, il était quoi qu'il en soit en droit d'invalider l'accord en question. Sa créance en restitution des 2'550'000 GBP versés en vertu de cet accord était dès lors rendue vraisemblable. 4.3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w:t>
      </w:r>
    </w:p>
    <w:p>
      <w:r>
        <w:t>- 12/15 -</w:t>
      </w:r>
    </w:p>
    <w:p>
      <w:r>
        <w:t>C/10156/2020 un examen sommaire du bien-fondé juridique, c'est-à-dire un examen qui n'est ni définitif, ni complet, au terme duquel il rend une décision provisoire (arrêt du Tribunal fédéral 5A_560/2015 du 13 octobre 2015 consid. 3). 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 L'opposant doit tenter de démontrer que son point de vue est plus vraisemblable que celui du créancier séquestrant (arrêts du Tribunal fédéral 5A_328/2013 du 4 novembre 2013 consid. 4.3.2; 5A_925/2012 du 5 avril 2013 consid. 9.3). 4.4 4.4.1 En l'espèce, l'affirmation du recourant selon laquelle le Tribunal aurait mal évalué les éléments résultant du dossier en retenant que l'intimée avait emménagé de manière effective au 2______ avant le 31 janvier 2020 repose sur des faits qui ne résultent pas du jugement entrepris. Il n'a en effet pas été constaté que l'intimée n'aurait déménagé qu'une partie de ses affaires au 2______ et conservé la plupart de ses effets personnels dans son ancien logement. Il n'a pas davantage été constaté que l'intimée ne se serait pas impliquée dans l'aménagement de la nouvelle demeure familiale et aurait laissé le recourant et son concierge s'en occuper. Or, le recourant ne se plaint, dans la partie "En droit" de son recours, d'aucune constatation arbitraire des faits à cet égard (s'agissant de la partie "En fait" du recours, voir supra consid. 2.2). La Cour ne saurait dès lors réexaminer le litige sur la base des éléments susmentionnés. En toute hypothèse, le fait que l'intimée ait conservé une partie de ses effets personnels à son ancien domicile et s'en soit remise au recourant, ainsi qu'à l'employé de ce dernier, s'agissant de l'aménagement de la nouvelle demeure familiale, ne paraît pas incompatible avec le fait de s'installer de manière effective dans ladite demeure et de faire de celle-ci le centre de son existence. Quoi qu'il en dise, ces prétendus manquements de l'intimée n'ont par ailleurs pas empêché le recourant d'exprimer son bonheur que la précitée et ses enfants aient emménagé à la date convenue et de manifester, ce faisant, qu'il considérait la condition prévue par le "Cohabitation Agreement" comme remplie. En conclusion sur ce point, le Tribunal a retenu à bon droit que l'intimée s'était installée de manière effective au 2______ dans le délai imparti. 4.4.2 Le recourant ne saurait davantage être suivi lorsqu'il reproche au Tribunal d'avoir limité son examen à la question de l'emménagement de l'intimée, sans vérifier si les parties avaient mené une vie de famille durable après le 31 janvier 2020. Le premier juge a en effet considéré que le comportement des parties entre</w:t>
      </w:r>
    </w:p>
    <w:p>
      <w:r>
        <w:t>- 13/15 -</w:t>
      </w:r>
    </w:p>
    <w:p>
      <w:r>
        <w:t>C/10156/2020 février et juin 2020 rendait vraisemblable qu'elles entretenaient une relation en adéquation avec les intentions qu'elles avaient formalisées. Le grief du recourant tombe dès lors à faux. Les critiques formulées par le recourant à l'encontre de ce constat n'emportent en outre pas la conviction. Les affirmations du recourant, selon lesquelles l'intimée serait restée domiciliée à son ancienne adresse, et aurait continué d'y recevoir son courrier, ne résultent en effet pas de la décision entreprise, ni ne sont établies par pièces. A supposer que tel fût le cas, l'on ne discerne pas en quoi ce comportement de l'intimée aurait été contraire à l'obligation de mener une vie de famille durable avec le recourant au 2______, étant rappelé que le "Cohabitation Agreement" n'imposait d'obligations de nature administrative ni à l'intimée (annonce du changement de domicile aux autorités, déviation du courrier, etc.), ni au recourant, lequel était tenu de séjourner majoritairement à Genève en raison de son statut fiscal. La demande de l'intimée de pouvoir retourner temporairement dans son ancien logement, ne laisse pas non plus paraître, chez l'intéressée, une absence d'intention de vivre durablement avec le recourant. Eu égard au caractère soudain et inédit de la pandémie de Covid-19 et des mesures prises par les autorités afin d'endiguer celle-ci, il paraît au contraire compréhensible que l'intimée ait souhaité retourner provisoirement avec ses enfants dans ce logement, étant rappelé que le recourant était alors lui-même absent de la maison familiale. Le fait que l'intimée n'ait cherché qu'au mois de mai 2020 à inscrire ses enfants dans un établissement scolaire proche de K______ ne saurait non plus être retenu à son détriment. Le recourant ne s'étant pas prévalu de ce prétendu retard devant le Tribunal, cet allégué est tout d'abord irrecevable (cf. supra consid. 3.2.2 in fine). Le fait que l'intimée ait attendu jusqu'à mai 2020 pour agir en ce sens peut en outre s'expliquer - comme elle l'allègue dans sa réponse - par la nécessité d'obtenir l'accord de son ancien époux à ce sujet. Il en va de même du fait que l'intimée n'aurait entrepris, durant la cohabitation, aucune démarche en vue d'organiser le mariage prévu au mois de septembre 2020. Cette circonstance ne résulte en effet pas du jugement entrepris et ne fait l'objet d'aucun grief pour constatation arbitraire des faits ; elle ne saurait donc être prise en considération. Les messages I______ [messagerie] échangés par les parties le 21 mai 2020, dans lesquels le recourant reproche à l'intimée de ne pas lui avoir consacré de temps lors de son dernier passage à F______ et d'avoir exigé qu'il la prévienne de son arrivée à l'avance, laissent certes transparaître des tensions, ce que le Tribunal n'a du reste pas ignoré. Ces tensions ne suffisent toutefois pas pour rendre</w:t>
      </w:r>
    </w:p>
    <w:p>
      <w:r>
        <w:t>- 14/15 -</w:t>
      </w:r>
    </w:p>
    <w:p>
      <w:r>
        <w:t>C/10156/2020 vraisemblable que l'intimée n'avait pas l'intention de mener une vie de famille durable avec le recourant et qu'elle aurait agi de mauvaise foi. Comme l'a retenu à juste titre le Tribunal, le recourant n'a enfin produit, dans le cadre de la procédure de première instance, aucune pièce propre à rendre vraisemblable que l'intimée aurait continué secrètement d'entretenir une relation avec son ancien compagnon après la signature de l'accord de cohabitation. Les pièces produites à cette fin dans le cadre du recours sont en outre irrecevables (cf. supra consid. 3.2.1). Au vu de ce qui précède, le Tribunal a retenu à juste titre que le recourant n'avait pas rendu vraisemblable les faits propres à fonder la créance en enrichissement illégitime invoquée à l'appui du séquestre. Le recours sera donc rejeté, et ce sans qu'il ne soit nécessaire d'examiner la réalisation des autres conditions du séquestre. 5. Le recourant, qui succombe, sera condamné aux frais du recours (art. 106 al. 1 CPC). Les frais judiciaires seront arrêtés à 2'250 fr. (art. 48 et 61 al. 1 OELP) et compensés avec l'avance versée par le recourant, laquelle reste acquise à l'Etat de Genève (art. 111 al. 1 CPC). Compte tenu de la valeur litigieuse, de la difficulté de la cause, de ses enjeux, et de l'ampleur de l'activité nécessaire, les dépens dus à l'intimée seront fixés à 10'000 fr., débours et TVA compris (art. 23 al. 1, 25 et 26 al. 1 LaCC; art. 85, 88 et 90 RTFMC). * * * * *</w:t>
      </w:r>
    </w:p>
    <w:p>
      <w:r>
        <w:t>- 15/15 -</w:t>
      </w:r>
    </w:p>
    <w:p>
      <w:r>
        <w:t>C/10156/2020 PAR CES MOTIFS, La Chambre civile : A la forme : Déclare recevable le recours interjeté le 5 octobre 2020 par A______ contre le jugement OSQ/41/2020 rendu le 15 septembre 2020 par le Tribunal de première instance dans la cause C/10156/2020-25 SQP. Au fond : Le rejette. Déboute les parties de toutes autres conclusions. Sur les frais : Arrête les frais judiciaires de recours à 2'250 fr., les met à la charge de A______ et les compense avec l'avance qu'il a versée et qui demeure acquise à l'Etat de Genève. Condamne A______ à verser 10'000 fr. à B______ à titre de dépens de recours. Siégeant : Monsieur Laurent RIEBEN, président; Madame Fabienne GEISINGER-MARIETHOZ, Monsieur Ivo BUETTI, juges; Madame Laura SESSA, commise-greffière.</w:t>
      </w:r>
    </w:p>
    <w:p>
      <w:r>
        <w:t>Le président : Laurent RIEBEN</w:t>
      </w:r>
    </w:p>
    <w:p>
      <w:r>
        <w:t>La commise-greffière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