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ACJC/173/2016 vom 15. Februar 2016</w:t>
      </w:r>
    </w:p>
    <w:p>
      <w:r>
        <w:t>GE Cour de justice, 2016-02-15, FR</w:t>
      </w:r>
    </w:p>
    <w:p>
      <w:r>
        <w:rPr>
          <w:b/>
        </w:rPr>
        <w:t xml:space="preserve">Quelle: </w:t>
      </w:r>
      <w:r>
        <w:t>https://mcp.opencaselaw.ch/entscheid/ge_gerichte_ACJC_173_2016</w:t>
      </w:r>
    </w:p>
    <w:p>
      <w:r>
        <w:t>FR: GE_GERICHTE ACJC/173/2016 du 15 février 2016</w:t>
      </w:r>
    </w:p>
    <w:p>
      <w:r>
        <w:t>IT: GE_GERICHTE ACJC/173/2016 del 15 febbraio 2016</w:t>
      </w:r>
    </w:p>
    <w:p>
      <w:pPr>
        <w:pStyle w:val="Heading2"/>
      </w:pPr>
      <w:r>
        <w:t>Erwägungen</w:t>
      </w:r>
    </w:p>
    <w:p>
      <w:r>
        <w:rPr>
          <w:b/>
        </w:rPr>
        <w:t>E. 1.1</w:t>
      </w:r>
    </w:p>
    <w:p>
      <w:r>
        <w:t>L'appel formé par l'épouse est recevable pour avoir été interjeté auprès de l'au- torité compétente (art. 120 al. 1 let. a LOJ), dans les délai et forme utiles (art. 130, 131, 142 al. 3, 248 let. d, 271 let. a, 311 et 314 al. 1 CPC) à l'encontre d'une décision sur mesures provisionnelles (art. 308 al. 1 let. b CPC) qui statue sur des prétentions tant patrimoniales (contributions à l'entretien de la famille) que non patrimoniales (droit de visite), soit sur une affaire non pécuniaire dans son ensemble (arrêt du Tribunal fédéral 5A_765/2012 du 19 février 2013 consid. 1.1).</w:t>
      </w:r>
    </w:p>
    <w:p>
      <w:r>
        <w:rPr>
          <w:b/>
        </w:rPr>
        <w:t>E. 1.2</w:t>
      </w:r>
    </w:p>
    <w:p>
      <w:r>
        <w:t>La Cour revoit la cause avec un plein pouvoir d'examen (art. 310 CPC). Les mesures provisionnelles étant soumises à la procédure sommaire au sens propre (art. 248 let. d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concernant les enfants (art. 296 al. 3 CPC). En revanche, la maxime de disposition est applicable s'agissant de la contribution d'entretien due à l'épouse (ATF 129 III 417 précité; arrêts du Tribunal fédéral 5A_757/2013 du 14 juillet 2014 consid. 2.1 et 5A_574/2013 du 9 octobre 2013).</w:t>
      </w:r>
    </w:p>
    <w:p>
      <w:r>
        <w:rPr>
          <w:b/>
        </w:rPr>
        <w:t>E. 2</w:t>
      </w:r>
    </w:p>
    <w:p>
      <w:r>
        <w:t>Les parties ont produit des pièces nouvelles à l'appui de leurs écritures respectives.</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la Cour admet tous les novas (ACJC/244/2015 du 6 mars 2015 consid. 3.3.1, ACJC/798/2014 du 27 juin 2014 consid. 2.2; ACJC/480/2014 du 11 avril 2014 consid. 1.4; dans le même sens : TREZZINI, in Commentario al Codice di diritto processuale civile</w:t>
      </w:r>
    </w:p>
    <w:p>
      <w:r>
        <w:t>- 8/17 -</w:t>
      </w:r>
    </w:p>
    <w:p>
      <w:r>
        <w:t>C/9834/2015 svizzero (CPC), COCCHI/TREZZINI/BERNASCONI [éd.], 2011, p. 1394; TAPPY, Les voies de droit du nouveau code de procédure civile, in JdT 2010 III p. 139).</w:t>
      </w:r>
    </w:p>
    <w:p>
      <w:r>
        <w:rPr>
          <w:b/>
        </w:rPr>
        <w:t>E. 2.2</w:t>
      </w:r>
    </w:p>
    <w:p>
      <w:r>
        <w:t>En l'espèce, l'ensemble des pièces nouvelles produites par les parties sont recevables, car elles concernent leurs situations financières et personnelles, lesquelles sont susceptibles d'influencer la contribution d'entretien due aux enfants.</w:t>
      </w:r>
    </w:p>
    <w:p>
      <w:r>
        <w:rPr>
          <w:b/>
        </w:rPr>
        <w:t>E. 3</w:t>
      </w:r>
    </w:p>
    <w:p>
      <w:r>
        <w:t>Le Tribunal a alloué une contribution mensuelle d'entretien pour les enfants, de 1'500 fr. au total. L'appelante sollicite le versement de contributions mensuelles d'entretien de 2'250 fr. pour chacune de ses filles et de 1'500 fr. pour elle-même. En sus des charges mensuelles admises par le Tribunal, elle persiste à demander la prise en considération des frais suivants, arrondis : ramonage (12 fr.), jardinier (240 fr.), entretien de la piscine (208 fr.), sécurité de la villa, alarme (110 fr.), Services industriels (86 fr.), téléphones fixe et mobile (496 fr.), cotisation au TCS (54 fr.), 3ème pilier (562 fr.) et impôts (3'500 fr.). L'intimé a admis ces charges en première instance, à l'exception des impôts, qu'il estime à 1'076 fr. selon ses calculs. S'agissant des charges mensuelles des enfants, l'appelante demande, en sus de celles considérées par le Tribunal, leurs frais de camp d'été et de tennis (92 fr. par mois et par enfant), ainsi que le salaire mensuel de la nounou fixé en dernier lieu à 2'120 fr. pour un taux d'occupation à 60%. L'intimé a admis les charges mensuelles des enfants en première instance, sauf en ce qui concerne le revenu mensuel de la nounou, occupée à effectuer des tâches ménagères en sus de s'occuper des enfants. A la suite de la réduction du taux d'activité de celle-là à 60%, il estime qu'elle perçoit 1'800 fr. par mois, puisqu'auparavant elle été rémunérée 2'400 fr. pour une activité à 80%.</w:t>
      </w:r>
    </w:p>
    <w:p>
      <w:r>
        <w:rPr>
          <w:b/>
        </w:rPr>
        <w:t>E. 4</w:t>
      </w:r>
    </w:p>
    <w:p>
      <w:r>
        <w:t>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w:t>
      </w:r>
    </w:p>
    <w:p>
      <w:r>
        <w:t>- 9/17 -</w:t>
      </w:r>
    </w:p>
    <w:p>
      <w:r>
        <w:t>C/9834/2015 des revenus de l'enfant, de même que de la participation de celui de ses parents qui n'a pas la garde de l'enfant à la prise en charge de ce dernier (ATF 134 III 337 consid. 2.2.2). Le législateur n'a pas arrêté de mode de calcul à cette fin (ATF 128 III 411 consid. 3.2.2). L'une des méthodes préconisées par la doctrine et considérée comme conforme au droit fédéral est celle dite du minimum vital, avec répartition de l'excédent. Elle consiste à évaluer d'abord les ressources des époux, puis à cal- culer leurs charges en se fondant sur le minimum vital de base du droit des pour- suites, élargi des dépenses incompressibles (loyer, assurance-maladie et si les moyens des parents le permettent et les besoins de l'enfant le justifient, les dé- penses supplémentaires, par exemple, pour des formations accessoires, des sports ou des loisirs) (art. 93 LP; arrêt du Tribunal fédéral 5C.142/2006 du 2 février 2007 consid. 4.3)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77, p. 90). Seules les charges effectives, dont le débirentier s'acquitte réellement, doivent être prises en compte (ATF 126 III 89 consid. 3b; 121 III 20 consid. 3a et les arrêts cités; arrêt du Tribunal fédéral 5A_396/2013 du 26 février 2014 consid 6.2.1). Les allocations familiales doivent être retranchées du coût de l'enfant (ATF 128 III 305 consid. 4b; arrêts du Tribunal fédéral 5A_892/2013 du 29 juillet 2014 consid. 4.4.3). Concernant les frais de logement, il est nécessaire de les répartir entre le parent gardien et les enfants et de les mettre à la charge des enfants à raison de 20% du loyer raisonnable pour un enfant et 30% pour deux enfants (BASTONS BULLETTI, op. cit., p. 77 ss, p. 85 et 102). 4.1.2 Le juge doit en principe tenir compte des revenus effectifs ou réels des par- ties lors de la fixation de la contribution d'entretien. Il peut toutefois imputer un revenu hypothétique à l'une des parties, dans la mesure où celle-ci pourrait le réa- liser en faisant preuve de bonne volonté et en accomplissant l'effort qui peut être raisonnablement exigé d'elle (ATF 137 III 102 consid. 4.2.2.2 et les références;</w:t>
      </w:r>
    </w:p>
    <w:p>
      <w:r>
        <w:t>- 10/17 -</w:t>
      </w:r>
    </w:p>
    <w:p>
      <w:r>
        <w:t>C/9834/2015 arrêts du Tribunal fédéral 5A_564/2014 du 1er octobre 2014 consid. 5.1 et 5A_662/2013 du 24 juin 2014 consid. 3.2.2 et les références). Le fait qu'un débirentier sans emploi n'ait pas vu ses indemnités suspendues, à titre de sanction, par une assurance sociale (chômage, assistance sociale) ne dis- pense pas le juge civil d'examiner si l'on peut lui imputer un revenu hypothétique. En effet, le juge civil n'est pas lié par l'instruction menée par les autorités admi- nistratives. En outre, les critères qui permettent de retenir un revenu hypothétique sont différents en droit de la famille et en droit des assurances sociales; en droit de la famille, lorsque l'entretien d'un enfant mineur est en jeu et que l'on est en pré- 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Si les revenus (du travail et de la fortune) suffisent à l'entretien des conjoints, la substance de la fortune n'est normalement pas prise en considération. Mais, dans le cas contraire, rien ne s'oppose, en principe, à ce que l'entretien soit assuré par la fortune (ATF 138 III 289 consid. 11.1.2; 134 III 581 consid. 3.3; 129 III 7 consid. 3.2.1; arrêt du Tribunal fédéral 5A_372/2015 du 29 septembre 2015 consid. 2.12). Suivant la fonction et la composition de la fortune des époux, on peut ainsi attendre du débiteur d'aliments qu'il en entame la substance (arrêt du Tribunal fédéral 5A_372/2015 du 29 septembre 2015 consid. 2.12).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5A_372/2015 du 29 septembre 2015 consid. 2.12 et les références citées).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arrêt du Tribunal fédéral 5A_372/2015 du 29 septembre 2015 consid. 2.12).</w:t>
      </w:r>
    </w:p>
    <w:p>
      <w:r>
        <w:t>- 11/17 -</w:t>
      </w:r>
    </w:p>
    <w:p>
      <w:r>
        <w:t>C/9834/2015</w:t>
      </w:r>
    </w:p>
    <w:p>
      <w:r>
        <w:t>4.2.1 En l'espèce, l'intimé a affirmé, de manière contradictoire, ne percevoir aucun revenu de la part de K______, en dépit de sa position d'administrateur unique de cette société. Il a, de plus, précisé qu'il n'était pas actionnaire de celle-ci, mais qu'il avait néanmoins assumé 111'012 fr. de dépenses en 2014 pour cette société (cf. pièce n° 24 intimé).</w:t>
      </w:r>
    </w:p>
    <w:p>
      <w:r>
        <w:t>Il ressort de cette situation qu'il est vraisemblable que l'intimé puisse percevoir une rémunération d'administrateur pour ses services professionnels dans le cadre d'une société tierce active dans la gestion de fortune. La question du revenu hypothétique de l'intimé peut toutefois demeurer indécise, au stade des mesures protectrices de l'union conjugale, puisqu'il dispose d'une fortune importante (fortune imposable de 562'332 fr. selon sa déclaration fiscale 2014, augmentée par les versements de son ex-employeur), dont il a accepté d'entamer la substance pour assumer ses obligations d'entretien envers sa famille. Dès lors, il n'est pas nécessaire d'examiner les conséquences de son refus d'accepter le poste proposé par L______ ni celles de son absence de postulation au sein de M______.</w:t>
      </w:r>
    </w:p>
    <w:p>
      <w:r>
        <w:t>4.2.2 Les charges mensuelles de la famille s'établissent comme suit :</w:t>
      </w:r>
    </w:p>
    <w:p>
      <w:r>
        <w:t>- Les charges mensuelles de l'appelante, comprennent, en sus de celles admises par le Tribunal pour 4'199 fr. (base mensuelle d'entretien : 1'350 fr., intérêts hypothécaires [70 % de 1'987 fr.] : 1'391 fr., mazout : 242 fr., chauffage : 47 fr., assurance maladie : 682 fr., assurance-ménage : 201 fr., frais de véhicule : 286 fr.) les montants suivants : - Frais de ramonage (12 fr.) - Frais de sécurité de l'immeuble, alarme (110 fr.) - Cotisation du TCS (54 fr.) - Impôts, estimés à 2'042 fr. par mois au moyen de la calculette de l'Administration fédérale des contributions, à partir d'un revenu annuel brut de 177'600 fr. pour un contribuable domicilié à ______ (Genève; cf. site internet &lt;http://www.estv2.admin.ch&gt;) Les frais de jardinier, de piscine doivent être exclus de ses charges mensuelles de minimum vital élargi, car ils ne sont pas indispensables à l'appelante. Il en va de même de ses versements au 3ème pilier car elle cotise déjà au 2ème pilier en sa qualité d'employée. Les frais de téléphone et des Services industriels sont déjà inclus dans sa base mensuelle d'entretien (cf. Normes d'insaisissabilité pour l'année 2016, E 3 60.04, ch. I). Ainsi, les charges mensuelles de l'appelante sont estimées à 6'420 fr. par mois (arrondi).</w:t>
      </w:r>
    </w:p>
    <w:p>
      <w:r>
        <w:t>- 12/17 -</w:t>
      </w:r>
    </w:p>
    <w:p>
      <w:r>
        <w:t>C/9834/2015 - Les charges mensuelles de la fille aînée des parties comprennent les montants suivants : - Base mensuelle d'entretien : 600 fr. - Intérêts hypothécaires (15% de 1'987 fr.) : 298 fr. - Assurance-maladie : 170 fr. - Activités parascolaires : 29 fr. (cours ______) - Camp d'été et ______ : 92 fr., vu le niveau de vie des parents, qui permet de considérer les loisirs des enfants - ½ des frais de la nounou : 900 fr., puisque l'intimé a admis le montant de 1'800 fr. par mois, lequel correspond à la réduction au prorata de son taux d'activité et parce que l'appelante n'a pas rendu vraisemblable que le salaire mensuel de cette employée était supérieur à 1'800 fr. par mois. En revanche, l'entier du salaire sera pris en considération, sans effectuer de distinction entre la partie de ses tâches ménagères et celles dévolues à la garde des enfants, puisque celles-ci ont besoin de la disponibilité de leur mère, laquelle travaille déjà à 90% et ne peut pas en sus s'impliquer dans les tâches ménagères. Les charges mensuelles totales de l'aînée s'élèvent ainsi à 2'089 fr. par mois, respectivement à 1'789 fr., arrondis à 1'800 fr. après déduction de ses allocations familiales. - Les charges mensuelles de la cadette comprennent les montants suivants : - Base mensuelle d'entretien : 400 fr. - Intérêts hypothécaires (15 % de 1'987 fr.) : 298 fr. - Assurance-maladie : 170 fr. - Activités parascolaires : 38 fr. (______) - Camp d'été et ______ : 92 fr. - ½ des frais de la nounou : 900 fr. Les charges mensuelles totales de la cadette s'élèvent à 1'898 fr., respectivement à 1'598 fr., arrondis à 1'600 fr. après déduction des allocations familiales. - Les charges mensuelles de l'intimé sont de l'ordre de 4'550 fr. (arrondi) à 5'550 fr. comprennent les montants suivants : - Base mensuelle d'entretien : 1'200 fr. - Assurance-maladie : 629 fr. - Assurance-ménage : 150 fr. - Frais de déplacement : 70 fr. - Le montant du loyer de 3'500 fr. est particulièrement élevé et il serait en mesure de réduire cette charge à 2'500 fr. Il n'est toutefois pas nécessaire de lui imposer de déménager et de lui fixer un délai à cette fin puisqu'il dispose</w:t>
      </w:r>
    </w:p>
    <w:p>
      <w:r>
        <w:t>- 13/17 -</w:t>
      </w:r>
    </w:p>
    <w:p>
      <w:r>
        <w:t>C/9834/2015 d'une fortune suffisante pour son entretien et celui de ses enfants. La question de savoir s'il devrait ou non occuper la dépendance de la villa peut demeurer ainsi indécise.</w:t>
      </w:r>
    </w:p>
    <w:p>
      <w:r>
        <w:t>Au regard de son salaire mensuel net de 14'800 fr., l'appelante est en mesure d'assumer ses charges (6'420 fr.). Son solde disponible mensuel est de 8'380 fr. de sorte que c'est avec raison que le Tribunal a refusé de lui allouer une contribution d'entretien.</w:t>
      </w:r>
    </w:p>
    <w:p>
      <w:r>
        <w:t>Il résulte de ce qui précède qu'au regard du taux d'activité important de l'appelante et de la fortune de l'intimé, il se justifie qu'il contribue à l'entretien de ses filles à raison de 2/3 des montants susindiqués, soit 1'200 fr. pour l'aînée et 1'100 fr. pour la cadette, ce qui donne un total de 2'300 fr. par mois pour ses deux filles, au lieu des 1'500 fr. décidés par le Tribunal.</w:t>
      </w:r>
    </w:p>
    <w:p>
      <w:r>
        <w:t>Le ch. 4 du dispositif du jugement entrepris sera dès lors modifié dans ce sens.</w:t>
      </w:r>
    </w:p>
    <w:p>
      <w:r>
        <w:rPr>
          <w:b/>
        </w:rPr>
        <w:t>E. 5</w:t>
      </w:r>
    </w:p>
    <w:p>
      <w:r>
        <w:t>Le Tribunal a réservé un large droit de visite à l'intimé (un week-end sur deux, du vendredi soir à la sortie de l'école jusqu'au lundi matin à la reprise de l'école, un jour par semaine, en principe le mardi, de la sortie de l'école au lendemain matin à la reprise de l'école, et de la moitié des vacances scolaires) au motif qu'en l'absence d'activité professionnelle, il était disponible pour s'occuper de ses enfants.</w:t>
      </w:r>
    </w:p>
    <w:p>
      <w:r>
        <w:t>L'appelante sollicite que le droit de visite de l'intimé prenne fin le dimanche à 18h en raison de la durée du trajet du domicile du père jusqu'à leur école en transports publics.</w:t>
      </w:r>
    </w:p>
    <w:p>
      <w:r>
        <w:rPr>
          <w:b/>
        </w:rPr>
        <w:t>E. 5.1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w:t>
      </w:r>
    </w:p>
    <w:p>
      <w:r>
        <w:rPr>
          <w:b/>
        </w:rPr>
        <w:t>E. 5.2</w:t>
      </w:r>
    </w:p>
    <w:p>
      <w:r>
        <w:t>En l'espèce, depuis la séparation des parties, le droit de visite du père est exercé jusqu'au dimanche soir à 18 h d'entente entre les parties. Il est préférable de maintenir cette organisation, car elle représente un élément de stabilité pour les filles qui peuvent ainsi regagner leur lieu de résidence principal à l'issue du week- end pour se préparer à la reprise scolaire. Ce retour permet, de plus, de ne pas leur imposer un trajet d'une heure en transports public, à 7h du matin le lundi, en sus de celui qu'elles effectuent déjà le mercredi matin avec leur père.</w:t>
      </w:r>
    </w:p>
    <w:p>
      <w:r>
        <w:t>Le ch. 3 du dispositif du jugement entrepris sera ainsi modifié dans ce sens.</w:t>
      </w:r>
    </w:p>
    <w:p>
      <w:r>
        <w:t>- 14/17 -</w:t>
      </w:r>
    </w:p>
    <w:p>
      <w:r>
        <w:t>C/9834/2015</w:t>
      </w:r>
    </w:p>
    <w:p>
      <w:r>
        <w:rPr>
          <w:b/>
        </w:rPr>
        <w:t>E. 6</w:t>
      </w:r>
    </w:p>
    <w:p>
      <w:r>
        <w:t>L'appelante sollicite le prononcé de la séparation de biens au 31 mars 2015, afin de préserver ses intérêts économiques dans le cadre de la future liquidation du régime matrimonial.</w:t>
      </w:r>
    </w:p>
    <w:p>
      <w:r>
        <w:rPr>
          <w:b/>
        </w:rPr>
        <w:t>E. 6.1</w:t>
      </w:r>
    </w:p>
    <w:p>
      <w:r>
        <w:t>Selon de l'art. 176 al. 1 ch. 3 CC, le juge ordonne la séparation de biens si les circonstances le justifient. Dès que cesse la vie commune, les conditions d'une telle mesure sont appréciées avec moins de rigueur. Sous la notion indéterminée "si les circonstances le justifient" se trouve au premier plan la mise en péril des intérêts économiques du conjoint requérant : il s'agit d'une question d'appréciation, que le juge tranche librement en tenant compte de toutes les circonstances concrètes de chaque cas d'espèce. Il convient de ne prononcer la séparation de biens qu'en présence d'éléments objectifs démontrant que les rapports économiques entre les époux sont devenus insupportables (ACJC/890/2015 du 5 août 2015 consid. 8). La séparation de biens prend effet au jour du dépôt de la requête (ACJC/896/2004 du 8 juillet 2004 consid. 6c).</w:t>
      </w:r>
    </w:p>
    <w:p>
      <w:r>
        <w:rPr>
          <w:b/>
        </w:rPr>
        <w:t>E. 6.2</w:t>
      </w:r>
    </w:p>
    <w:p>
      <w:r>
        <w:t>En l'espèce, l'intimé a affirmé avoir dépensé 111'012 fr. en 2014 pour le développement de K______, bien qu'il ne perçoive aucune rémunération en sa qualité d'administrateur et qu'il ait précisé qu'il n'était pas actionnaire de celle-ci. Cet élément singulier justifie le prononcé de la séparation de biens, laquelle rétroagira au 13 mai 2015, date du dépôt des mesures protectrices de l'union conjugale.</w:t>
      </w:r>
    </w:p>
    <w:p>
      <w:r>
        <w:rPr>
          <w:b/>
        </w:rPr>
        <w:t>E. 7</w:t>
      </w:r>
    </w:p>
    <w:p>
      <w:r>
        <w:t>Le Tribunal a réparti les frais à parts égales entre les parties et n'a pas alloué de dépens.</w:t>
      </w:r>
    </w:p>
    <w:p>
      <w:r>
        <w:t>L'appelante sollicite que les frais de la procédure soit mis entièrement à la charge de l'intimé, ainsi que l'octroi de dépens.</w:t>
      </w:r>
    </w:p>
    <w:p>
      <w:r>
        <w:rPr>
          <w:b/>
        </w:rPr>
        <w:t>E. 7.1</w:t>
      </w:r>
    </w:p>
    <w:p>
      <w:r>
        <w:t>Lorsque la Cour réforme en tout ou en partie le jugement entrepris, elle se prononce aussi sur les frais de première instance (art. 318 al. 3 CPC).</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La Cour statue également sur les frais judiciaires d'appel et les répartit d'office (art. 104 et 105 CPC).</w:t>
      </w:r>
    </w:p>
    <w:p>
      <w:r>
        <w:t>- 15/17 -</w:t>
      </w:r>
    </w:p>
    <w:p>
      <w:r>
        <w:t>C/9834/2015</w:t>
      </w:r>
    </w:p>
    <w:p>
      <w:r>
        <w:t>7.2.1 En l'espèce, le Tribunal a correctement usé de son pouvoir d'appréciation en mettant les frais de première instance à parts égales à la charge des parties et en renonçant à l'allocation de dépens, au regard de la qualité des parties et en application de l'art. 107 al. 1 ch. c CPC.</w:t>
      </w:r>
    </w:p>
    <w:p>
      <w:r>
        <w:t>7.2.2 Les frais judiciaires d'appel seront fixés à 1'250 fr., (art. 31 et 35 RTFMC). Ils sont compensés avec l'avance de frais du même montant fournie par l'appelante, qui reste acquise à l'Etat (art. 111 al. 1 CPC). Vu la qualité des parties et au regard du fait qu'aucune d'entre elles n'a entièrement gain de cause en appel, les frais judicaires seront mis à charge de l'appelante et de l'intimé pour moitié chacun.</w:t>
      </w:r>
    </w:p>
    <w:p>
      <w:r>
        <w:t>L'intimé sera dès lors condamné à verser 625 fr. à l'appelante à ce titre. Pour le surplus, chaque partie assumera ses propres dépens (art. 95 al. 3, 105 al. 2 et 107 al. 1 let. c CPC).</w:t>
      </w:r>
    </w:p>
    <w:p>
      <w:r>
        <w:rPr>
          <w:b/>
        </w:rPr>
        <w:t>E. 8</w:t>
      </w:r>
    </w:p>
    <w:p>
      <w:r>
        <w:t>L'arrêt de la Cour, qui statue sur mesures provisionnelles, est susceptible d'un recours en matière civile, les moyens étant limités en application de l'art. 98 LTF. * * * * *</w:t>
      </w:r>
    </w:p>
    <w:p>
      <w:r>
        <w:t>- 16/17 -</w:t>
      </w:r>
    </w:p>
    <w:p>
      <w:r>
        <w:t>C/9834/2015 PAR CES MOTIFS, La Chambre civile : A la forme : Déclare recevable l'appel interjeté par A______ contre les chiffres 3, 4, 7 et 8 du dispositif du jugement JTPI/10509/2015 rendu le 15 septembre 2015 par le Tribunal de première instance dans la cause C/9834/2015-16. Au fond : Annule les chiffres 3, 4 et 10 du dispositif de ce jugement et statuant à nouveau : Réserve à B______ un droit de visite devant s'exercer, à défaut d'accord contraire des parties, à raison d'un week-end sur deux, du vendredi soir à la sortie de l'école au dimanche à 18h, d'un jour par semaine, soit en principe le mardi, de la sortie de l'école au lendemain matin à la reprise de l'école, et de la moitié des vacances scolaires. Condamne B______ à verser en mains de A______, par mois et d'avance, allocations familiales éventuelles non comprises, les contributions d'entretien suivantes : - 1'200 fr. pour C______, - 1'100 fr. pour D______. Prononce la séparation de biens avec effet au 13 mai 2015. Confirme les chiffres 7 et 8 du dispositif du jugement querellé. Déboute les parties de toutes autres conclusions. Sur les frais d'appel : Arrête les frais judiciaires à 1'250 fr. Les met à charge de A______ et de B______ à parts égales et dit qu'ils sont entièrement compensés avec l'avance de frais fournie par celle-ci, laquelle reste acquise à l'Etat de Genève. Condamne B______ à payer à A______ la somme de 625 fr. Dit que chacune des parties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- 17/17 -</w:t>
      </w:r>
    </w:p>
    <w:p>
      <w:r>
        <w:t>C/9834/2015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