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ACJC/1721/2016 vom 19. Januar 2017</w:t>
      </w:r>
    </w:p>
    <w:p>
      <w:r>
        <w:t>GE Cour de justice, 2017-01-19, FR</w:t>
      </w:r>
    </w:p>
    <w:p>
      <w:r>
        <w:rPr>
          <w:b/>
        </w:rPr>
        <w:t xml:space="preserve">Quelle: </w:t>
      </w:r>
      <w:r>
        <w:t>https://mcp.opencaselaw.ch/entscheid/ge_gerichte_ACJC_1721_2016</w:t>
      </w:r>
    </w:p>
    <w:p>
      <w:r>
        <w:t>FR: GE_GERICHTE ACJC/1721/2016 du 19 janvier 2017</w:t>
      </w:r>
    </w:p>
    <w:p>
      <w:r>
        <w:t>IT: GE_GERICHTE ACJC/1721/2016 del 19 gennaio 2017</w:t>
      </w:r>
    </w:p>
    <w:p>
      <w:pPr>
        <w:pStyle w:val="Heading2"/>
      </w:pPr>
      <w:r>
        <w:t>Erwägungen</w:t>
      </w:r>
    </w:p>
    <w:p>
      <w:r>
        <w:rPr>
          <w:b/>
        </w:rPr>
        <w:t>E. 1</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1.1</w:t>
      </w:r>
    </w:p>
    <w:p>
      <w:r>
        <w:t>Dans les causes patrimoniales, l'appel est recevable contre les décisions finales de première instance (art. 308 al. 1 let. a CPC), lorsque la valeur litigieuse est supérieure à 10'000 fr. (art. 308 al. 2 CPC).</w:t>
      </w:r>
    </w:p>
    <w:p>
      <w:r>
        <w:t>D'après l'art. 236 al. 1 CPC, une décision est finale, lorsqu'elle met fin au procès, soit sur le fond, soit sur la recevabilité.</w:t>
      </w:r>
    </w:p>
    <w:p>
      <w:r>
        <w:t>Selon l'art. 311 al. 1 CPC, l'appel, écrit et motivé, est introduit auprès de l'instance d'appel dans les 30 jours à compter de la notification de la décision motivée ou de la notification postérieure de la motivation.</w:t>
      </w:r>
    </w:p>
    <w:p>
      <w:r>
        <w:t>Les délais légaux ne courent pas du 18 décembre au 2 janvier inclus (art. 145 al. 1 let. c).</w:t>
      </w:r>
    </w:p>
    <w:p>
      <w:r>
        <w:rPr>
          <w:b/>
        </w:rPr>
        <w:t>E. 1.2</w:t>
      </w:r>
    </w:p>
    <w:p>
      <w:r>
        <w:t>En l'espèce, la présente cause, qui porte sur une demande en paiement, est de nature patrimoniale. Au vu des conclusions prises par les parties devant le premier juge, la valeur litigieuse dépasse largement les 10'000 fr.</w:t>
      </w:r>
    </w:p>
    <w:p>
      <w:r>
        <w:t>La voie de l'appel est dès lors ouverte.</w:t>
      </w:r>
    </w:p>
    <w:p>
      <w:r>
        <w:t>Par ailleurs, le jugement entrepris a été notifié aux parties le 21 décembre 2016. L'appelante a expédié le présent appel le 1er février 2016 et a ainsi respecté le délai légal de 30 jours pour le déposer, compte tenu des féries judiciaires. Dès lors, cet appel, de surcroît écrit et motivé, est recevable.</w:t>
      </w:r>
    </w:p>
    <w:p>
      <w:r>
        <w:rPr>
          <w:b/>
        </w:rPr>
        <w:t>E. 2.1</w:t>
      </w:r>
    </w:p>
    <w:p>
      <w:r>
        <w:t>L'appelante reproche au premier juge d'avoir violé les art. 365 al. 3 et 369 CO en considérant qu'elle ne pouvait valablement se prévaloir des défauts pour refuser d'honorer la facture de l'intimée. Elle lui reproche aussi une constatation inexacte des faits (art. 310 let. b CPC), pour avoir omis de prendre en compte les déclarations de G______ ainsi que les témoignages de J______, P______ et R______, de même que pour avoir écarté les pièces 5, 7 et 20 dem. ainsi que 101 déf.</w:t>
      </w:r>
    </w:p>
    <w:p>
      <w:r>
        <w:t>- 14/21 -</w:t>
      </w:r>
    </w:p>
    <w:p>
      <w:r>
        <w:t>C/11839/2011 Elle considère que le Tribunal n'a ainsi pas tenu compte, d'une part, d'une absence alléguée de réserve de la part de l'intimée sur sa responsabilité au regard des travaux de pose de la résine, d'autre part, du fait que l'intimée ne l'avait pas avertie de ses difficultés à effectuer les travaux convenus en cours en raison des conditions de travail régnant sur le chantier, et d'autre part encore, du fait que l'intimée n'avait pas respecté le délai fixé pour la livraison de l'ouvrage, enfin, du fait que dès la fin des travaux, l'appelante avait immédiatement averti l'intimée des défauts importants que présentait l'ouvrage.</w:t>
      </w:r>
    </w:p>
    <w:p>
      <w:r>
        <w:rPr>
          <w:b/>
        </w:rPr>
        <w:t>E. 2.2</w:t>
      </w:r>
    </w:p>
    <w:p>
      <w:r>
        <w:t>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w:t>
      </w:r>
    </w:p>
    <w:p>
      <w:r>
        <w:rPr>
          <w:b/>
        </w:rPr>
        <w:t>E. 2.3</w:t>
      </w:r>
    </w:p>
    <w:p>
      <w:r>
        <w:t>Il n'est par ailleurs pas contesté que la relation juridique nouée par les parties relève du contrat d'entreprise régit par les art. 363 ss CO.</w:t>
      </w:r>
    </w:p>
    <w:p>
      <w:r>
        <w:rPr>
          <w:b/>
        </w:rPr>
        <w:t>E. 2.3.1</w:t>
      </w:r>
    </w:p>
    <w:p>
      <w:r>
        <w:t>Pour que l'entrepreneur soit tenu à garantie, il faut que l'ouvrage présente un défaut (1), que ce défaut ne soit pas imputable au maître (2) et que celui-ci ne l'ait pas accepté (3) (TERCIER/FAVRE, op. cit., p. 674). (1) Il y a défaut en cas d'absence soit d'une qualité promise, soit d'une qualité attendue (TERCIER/FAVRE, op. cit., p. 674). (2) Selon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L'application de cette règle est subordonnée aux trois conditions suivantes : (i) Il faut en premier lieu que le défaut soit le fait du maître. C'est le cas s'il a lui- même commis une faute. On y assimile le fait de ses auxiliaires (art. 101 CO), qu'il s'agisse d'un architecte, d'un ingénieur ou d'un autre (co)entrepreneur</w:t>
      </w:r>
    </w:p>
    <w:p>
      <w:r>
        <w:t>- 15/21 -</w:t>
      </w:r>
    </w:p>
    <w:p>
      <w:r>
        <w:t>C/11839/2011 [lorsque le maître entend réaliser un ensemble, il peut faire appel à des entrepreneurs partiels - (co)entrepreneurs -; il a dans ce cas des relations contractuelles indépendantes avec chaque entrepreneur; c'est à lui qu'il appartient de coordonner les travaux entre tous ceux qu'il engage pour son chantier; dans ses relations avec les autres (co)entrepreneurs, chaque (co)entrepreneur est donc pour le maître un auxiliaire dont il répond (art. 101 CO)]. L'hypothèse la plus fréquente en droit de la construction est celle des instructions données par l'auteur du projet ou le directeur des travaux. Il peut s'agir d'instructions inadéquates que l'entrepreneur devait suivre, d'erreurs de plans, des modes et moyens d'exécution ou du choix de la technique proposée. Le maître doit se laisser imputer non seulement le comportement de l'auxiliaire, mais aussi ses compétences. (ii) Il faut en second lieu, en principe, que l'entrepreneur ait donné un avis formel au maître de l'ouvrage (art. 365 al. 3 CO). En effet, l'entrepreneur a une obligation générale de diligence (art. 364 al. 1 CO) dont découle ce devoir d'avis, lequel a son fondement dans l'idée que l'entrepreneur n'est pas tenu seulement de suivre fidèlement les instructions du maître, mais encore qu'en sa qualité de spécialiste, il doit conseiller ce dernier et lui signaler toute circonstance importante qui influe sur l'exécution de l'ouvrage. Ce devoir d'avis n'a toutefois de sens que si le maître ignore les faits qui en sont l'objet, car dans la conception légale, l'entrepreneur est le spécialiste auquel s'adresse un maître inexpérimenté. C'est pourquoi il lui incombe de vérifier les apports et instructions du maître et de le rendre formellement attentif aux risques qui peuvent en découler. Cette conception n'est cependant plus adaptée lorsque le maître est lui-même plus compétent que l'entrepreneur, qu'il dispose (au moins) d'autant de compétences que celui-ci ou qu'il recourt aux services de spécialistes, comme c'est devenu la règle en droit de la construction (architecte, ingénieur, géomètre). Ainsi, le maître ne peut prétendre aux sanctions attachées à sa violation s'il connaissait ou était censé connaître les faits visés. L'entrepreneur est alors dispensé de vérifier le bien-fondé de l'instruction, mais il reste tenu par les règles de la bonne foi de signaler au maître les risques qu'il constate même sans vérification. De plus, son omission du devoir d'aviser doit être excusable, ce qui suppose que l'entrepreneur n'ait su ni dû savoir que les instructions du maître étaient inconsidérées. Son devoir d'avis concerne notamment l'inadéquation des instructions données par le maître ou ses auxiliaires (directives, plans, choix de matériaux) ou toute circonstance de nature à compromettre l'exécution régulière de l'ouvrage (TERCIER/FAVRE, Les contrats spéciaux, 2009, p. 667 à 669). (iii) Il faut en dernier lieu que le fait imputé au maître de l'ouvrage soit une cause adéquate du défaut de cet ouvrage. Si elle en constitue la cause unique, l'entrepreneur est entièrement libéré; si en revanche elle n'en constitue qu'une</w:t>
      </w:r>
    </w:p>
    <w:p>
      <w:r>
        <w:t>- 16/21 -</w:t>
      </w:r>
    </w:p>
    <w:p>
      <w:r>
        <w:t>C/11839/2011 cause partielle, les responsabilités peuvent être partagées (TERCIER/FAVRE, op. cit., p. 642, 667, 668, 676 à 678 et 696). (3) Le maître peut enfin être privé de l'exercice des droits à la garantie s'il ne respecte pas deux incombances, soit celle de vérifier l'ouvrage et, s'il constate des défauts, celle d'en aviser immédiatement l'entrepreneur (art. 367 al. 1 CO). Il suffit que le maître énumère les défauts et fasse clairement connaître son intention d'en tenir l'entrepreneur responsable. L'avis des défauts ne doit pas revêtir une forme spéciale et peut figurer dans un procès-verbal. Le maître découvre un défaut lorsqu'il en constate l'existence avec certitude, de manière à pouvoir formuler une réclamation motivée. Savoir si l'avis des défauts a été donné en temps utile dépend de l'ensemble des circonstances, en particulier de la nature du défaut. Selon la jurisprudence, en matière de vente et de contrat d'entreprise, un avis des défauts communiqué deux ou trois jours ouvrables, voire même sept jours, après leur découverte respecte la condition d'immédiateté. Tel n'est pas le cas en revanche des avis transmis quatorze ou vingt jours après la découverte des défauts signalés (TERCIER/FAVRE, op. cit., p. 678 à 682).</w:t>
      </w:r>
    </w:p>
    <w:p>
      <w:r>
        <w:rPr>
          <w:b/>
        </w:rPr>
        <w:t>E. 2.3.2</w:t>
      </w:r>
    </w:p>
    <w:p>
      <w:r>
        <w:t>Le fardeau de la preuve incombe au maître de l'ouvrage qui oppose, à son obligation de payer le prix, la réparation du dommage résultant de prétendus défauts (arrêt du Tribunal fédéral 4A_183/2011 du 16 juin 2011 consid. 3.2; CHAIX, Commentaire romand CO I, 2008, n° 33 ad art. 368 CO). Il appartient à l'entrepreneur d'alléguer que l'ouvrage a été accepté tacitement pour le motif que ses défauts ont été annoncés tardivement, le maître devant pour sa part prouver qu'il s'en est prévalu en temps utile (ATF 118 II 142 consid. 3a; arrêt du Tribunal fédéral 4C.149/2001 du 19 décembre 2001 consid. 2 b) et 4). 2.4.1 En l'espèce, l'ouvrage livré par l'intimée présente des défauts, la résine posée par l'intimée ne présentant pas les qualités attendues par l'appelante compte tenu des standards de son garage, ce que l'intimée ne conteste d'ailleurs pas. Ces défauts sont par ailleurs reconnus par le courrier de l'intimée à son fournisseur du 22 mars 2010, qui mentionne des traces de pneus et d'huile ainsi que par le rapport de ce fournisseur daté du 28 juin 2010, faisant état de ces mêmes traces mais également de taches aux extrémités du revêtement au sol et sur la partie inférieur des podiums d'exposition. Ils sont enfin confirmés par les déclarations devant le premier juge de plusieurs témoins. 2.4.2 L'appelante conteste avoir été informée par l'intimée des conditions nécessaires à respecter pour pouvoir poser la résine en cause dans les règles de l'art sur les sols et sur les podiums du garage.</w:t>
      </w:r>
    </w:p>
    <w:p>
      <w:r>
        <w:t>- 17/21 -</w:t>
      </w:r>
    </w:p>
    <w:p>
      <w:r>
        <w:t>C/11839/2011 Or, les témoins D______, N______ et O______, tous trois intervenus conjointement ou successivement dans la pose de la résine en question, ont unanimement et clairement déclaré devant le premier juge que ce chantier s'était déroulé dans de très mauvaises conditions de travail pour l'intimée. En effet, les directives de pose de cette résine, que l'appelante et son mandataire avaient reçues en même temps que le devis de l'intimée, mentionnaient expressément que cette pose devait être effectuée dans un espace propre et libre, sans dégagement de poussières annexes ni déplacements sur les surfaces traitées pendant son séchage, et qu'en outre, cette résine devait être apposée sur les podiums avant que ceux-ci ne soient inclinés. Toutefois, ces directives n'ont pas été respectées tant par les autres entreprises que par le maître de l'ouvrage, qui a même exigé des travaux à l'encontre des règles de l'art en la matière, selon les témoins susmentionnés. En outre, les délais de finition des travaux très serrés, confirmés également par les témoins P______ et R______, n'ont pas permis que les travaux de pose cette résine se fassent dans des conditions normales, puisque l'intimée a même été contrainte de travailler de nuit pour respecter ces délais, étant précisé qu'il est aussi établi par les témoins entendus qu'elle a bien livré l'ouvrage à l'appelante à la date convenue. Les témoins D______, N______ et O______ ont, en outre, tous trois confirmé avoir successivement dénoncé ces conditions de travail inacceptables avant la fin de ce chantier auprès du mandataire de la recourante à tout le moins, attirant son attention sur les conséquences pouvant en résulter sur la qualité de la prestation promise. Ils ont enfin tous confirmé que l'absence sus-évoquée de respect des directives de pose de la résine par les autres entreprises et par le maître de l'ouvrage les avaient empêchés de travailler dans les règles de l'art, qui étaient très particulières en matière de pose de résine coulante, notamment au regard des temps impératifs de séchage de cette matière très fluide. Il y a lieu à cet égard d'apprécier avec circonspection les déclarations du témoin J______, qui était, sur ce chantier, le mandataire de l'appelante et le responsable à son égard du déroulement des travaux, qu'il a décrit comme quasi exemplaire, en particulier s'agissant des conditions de travail faites à l'intimée. Ses déclarations sont toutefois en contradiction flagrante avec celles des représentants de deux autres entreprises ayant également travaillé à la pose de résine sur ce chantier, aux côtés de l'intimée.</w:t>
      </w:r>
    </w:p>
    <w:p>
      <w:r>
        <w:t>- 18/21 -</w:t>
      </w:r>
    </w:p>
    <w:p>
      <w:r>
        <w:t>C/11839/2011 De surcroît, ce témoin J______ a indiqué au premier juge des temps de séchage de la résine posée, à disposition de l'intimée, beaucoup plus importants en réalité que ceux rapportés de manière concordante par les trois témoins précités, alors que le respect d'un temps de séchage relativement long après la pose du matériau en cause était précisément capital en vue de l'obtention d'un résultat conforme aux attentes. Enfin, les pièces sur lesquelles l'appelante se fonde pour invoquer une constatation inexacte des faits par le premier juge concernent respectivement les plans du garage, le premier devis fait par l'intimée à l'attention de l'appelante le 23 novembre 2009, le rapport établi le 20 juin 2010 par le fournisseur de résine de l'intimée ainsi qu'un courrier de l'intimée à ce fournisseur du 22 mars 2010. A cet égard, la Cour peine à discerner en quoi la teneur de ces pièces serait susceptible d'établir, non pas l'existence des défauts en question, mais en quoi ces défauts seraient imputables à l'intimée et non à l'appelante directement ou par le biais de son mandataire architecte. En effet, il est rappelé qu'au vu des faits de la cause, ces derniers ont manifestement refusé, à teneur des témoignages concordants enregistrés par le premier juge et déjà évoqué ci-dessus, de tenir compte des directives précises qui leur avaient été fournies par ladite intimée avant le début du chantier et dont le respect était impératif pour une pose de la résine en question dans les règles de l'art. Il ressort dès lors de l'ensemble de ce qui précède que ce comportement de l'appelante a pour conséquence que les défauts litigieux lui sont bien imputables, au vu des principes juridiques rappelés ci-dessus sous ch. 3.1.1, et que le premier juge a correctement tenu compte des témoignages et pièces figurant au dossier dans le cadre de son appréciation des faits de la cause au regard de cette imputabilité ou non des défauts de l'ouvrage à l'appelante. 2.4.3. Par identité de motifs, les conclusions de l'appelante visant à la condamnation de l'intimée à des travaux de réfection des défauts à ses frais ainsi que de lui verser la somme de 28'848 fr. avec intérêt légal de 5% dès le 1er mars 2012 à titre de dommages et intérêts sont sans fondement. C'est donc également à juste titre que le premier juge les a rejetées. 2.4.4 Par ailleurs, la question de savoir si l'entier des défauts ou une partie seulement est imputable à l'appelante peut rester ouverte, puisque cette dernière n'a pas procédé à un avis des défauts dans les délais requis.</w:t>
      </w:r>
    </w:p>
    <w:p>
      <w:r>
        <w:t>- 19/21 -</w:t>
      </w:r>
    </w:p>
    <w:p>
      <w:r>
        <w:t>C/11839/2011 En effet, contrairement à ce que prétend cette dernière, aucun avis formel relatif à des défauts de l'ouvrage n'a été signifié à l'intimée à la suite de la réception de sa facture finale du 8 mars 2010. L'appelante a, selon son propre dire, oralement fait part à l'intimée, à une date indéterminée durant les travaux, de l'existence de traces, d'aspérités et de coulures sur la résine posée sur le sol et les podiums de son garage. De son côté, la responsable de l'intimée a déclaré que l'appelante avait fait part à son responsable de chantier de l'existence de traces de pas, de pneus et de taches d'huile à l'époque de l'inauguration dudit garage. Selon le mandataire architecte de l'appelante, cette dernière aurait dès réception de la facture de l'intimée du 8 mars 2010 envoyé un courrier à ladite intimée annonçant formellement ces défauts. Toutefois, ce courrier ne figure pas à la procédure, de sorte que l'appelante, qui en avait la charge, n'a pas démontré l'existence de cet avis des défauts allégué. Par ailleurs, elle a expressément, lors d'une séance réunissant toutes les entreprises, y compris l'intimée, le 4 mai 2010, accepté de payer l'intégralité de la facture finale de cette dernière, après vérification par son mandataire architecte le</w:t>
      </w:r>
    </w:p>
    <w:p>
      <w:r>
        <w:rPr>
          <w:b/>
        </w:rPr>
        <w:t>E. 3</w:t>
      </w:r>
    </w:p>
    <w:p>
      <w:r>
        <w:t>juillet 2015 consid. 3.2).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8</w:t>
      </w:r>
    </w:p>
    <w:p>
      <w:r>
        <w:t>mars 2010. Elle n'a à cette occasion formulé aucune réserve sur d'éventuels défauts opposables à l'intimée, de sorte qu'elle ne peut valablement contester aujourd'hui avoir, au plus tard ce 4 mai 2010, accepté formellement l'ouvrage livré par cette ladite intimée le 1er mars 2010. Quant au fait que le procès-verbal de cette réunion du 4 mai 2010 mentionnait une réserve globale vis-à-vis de toutes les entreprises présentes au sujet d'éventuels travaux de retouches et complémentaires de l'ouvrage livré, le cas échéant, cette mention très vague ne saurait valoir avis de défauts précis spécifiquement adressé à l'intimée. Ce n'est ainsi finalement que par un courrier envoyé le 30 septembre 2010 à l'intimée que l'appelante est revenue sur sa position adoptée le 4 mai 2010 et qu'elle a fait valoir des défauts de cet ouvrage opposables à ladite intimée. Dès lors, son avis des défauts par courrier du 30 septembre 2010 à l'intimée est manifestement tardif, au regard de la livraison de l'ouvrage le 1er mars 2010 et il vient en contradiction avec l'acceptation de cet ouvrage par l'appelante, le 4 mai 2010 au plus tard.</w:t>
      </w:r>
    </w:p>
    <w:p>
      <w:r>
        <w:t>- 20/21 -</w:t>
      </w:r>
    </w:p>
    <w:p>
      <w:r>
        <w:t>C/11839/2011 2.4.5 Il ressort de l'ensemble de ce qui précède que le premier juge a retenu à juste titre que l'appelante ne pouvait se prévaloir de la garantie des défauts de l'intimée pour refuser d'honorer la facture finale de cette dernière. Dès lors, son appel sera rejeté et le jugement entrepris, confirmé. 4. Les frais judiciaires d'appel seront fixés à 6'500 fr. (art. 95, 104 al. 1, 105 CPC; art. 17 et 35 du Règlement fixant le tarif des frais en matière civile (RTFMC) - E 1 05.10). Ils seront mis à la charge de l'appelante, qui succombe intégralement dans ses conclusions (art. 106 al. 1 CPC). Ils seront entièrement compensés par l'avance de frais de même montant qu'elle a fournie et qui reste acquise à l'Etat de Genève (art. 111 CPC). L'appelante sera en outre condamnée aux dépens de l'intimée, fixés à 5'000 fr., débours et TVA inclus (art 106 CPC; art. 85 et 90 RTFMC; art. 25 et 26 de la Loi d'application du code civil suisse et d'autres lois fédérales en matière civile (LaCC) - E 1 05). * * * * *</w:t>
      </w:r>
    </w:p>
    <w:p>
      <w:r>
        <w:t>- 21/21 -</w:t>
      </w:r>
    </w:p>
    <w:p>
      <w:r>
        <w:t>C/11839/2011 PAR CES MOTIFS, La Chambre civile : A la forme : Déclare recevable l'appel interjeté par A______ le 1er février 2016 contre le jugement JTPI/15510/2015 rendu le 17 décembre 2015 par le Tribunal de première instance dans la cause C/11839/2011. Au fond : Confirme ce jugement.</w:t>
      </w:r>
    </w:p>
    <w:p>
      <w:r>
        <w:t>Déboute les parties de toutes autres conclusions. Sur les frais : Arrête les frais judiciaires d'appel à 6'500 fr. et les met à la charge de A______. Dit que ces frais sont entièrement compensés par l'avance de frais de même montant versée par A______ aux Services financiers du Pouvoir judiciaire et qui reste acquise à l'Etat. Condamne A______ à verser à B______ la somme de 5'000 fr. à titre de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