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ACJC/171/2016 vom 15. Februar 2016</w:t>
      </w:r>
    </w:p>
    <w:p>
      <w:r>
        <w:t>GE Cour de justice, 2016-02-15, FR</w:t>
      </w:r>
    </w:p>
    <w:p>
      <w:r>
        <w:rPr>
          <w:b/>
        </w:rPr>
        <w:t xml:space="preserve">Quelle: </w:t>
      </w:r>
      <w:r>
        <w:t>https://mcp.opencaselaw.ch/entscheid/ge_gerichte_ACJC_171_2016</w:t>
      </w:r>
    </w:p>
    <w:p>
      <w:r>
        <w:t>FR: GE_GERICHTE ACJC/171/2016 du 15 février 2016</w:t>
      </w:r>
    </w:p>
    <w:p>
      <w:r>
        <w:t>IT: GE_GERICHTE ACJC/171/2016 del 15 febbraio 2016</w:t>
      </w:r>
    </w:p>
    <w:p>
      <w:pPr>
        <w:pStyle w:val="Heading2"/>
      </w:pPr>
      <w:r>
        <w:t>Erwägungen</w:t>
      </w:r>
    </w:p>
    <w:p>
      <w:r>
        <w:rPr>
          <w:b/>
        </w:rPr>
        <w:t>E. 1.1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10 jours (art. 314 al. 1 CPC).</w:t>
      </w:r>
    </w:p>
    <w:p>
      <w:r>
        <w:t>En l'espèce, l'appel a été introduit en temps utile et selon la forme prescrite par la loi (art. 311 al. 1 CPC) et porte sur des conclusions, qui capitalisées selon l'art. 92 al. 2 CPC sont supérieures à 10'000 fr. (contribution d'entretien pour l'enfant), ainsi que sur des prétentions non patrimoniales (droit de garde, étendue du droit de visite et attribution de l'usage du domicile conjugal).</w:t>
      </w:r>
    </w:p>
    <w:p>
      <w:r>
        <w:t>Il est donc recevable.</w:t>
      </w:r>
    </w:p>
    <w:p>
      <w:r>
        <w:rPr>
          <w:b/>
        </w:rPr>
        <w:t>E. 1.2</w:t>
      </w:r>
    </w:p>
    <w:p>
      <w:r>
        <w:t>La Cour revoit la cause avec un plein pouvoir d'examen, tant en fait qu'en droit (art. 310 CPC). La cognition du juge est cependant limitée dans le cadre des mesures protectrices de l'union conjugale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rPr>
          <w:b/>
        </w:rPr>
        <w:t>E. 1.3</w:t>
      </w:r>
    </w:p>
    <w:p>
      <w:r>
        <w:t>Selon l'art. 296 CPC, les maximes d'office et inquisitoire illimitée s'appliquent lorsque le juge est saisi de questions relatives aux enfants dans les affaires de droit de la famille, ce qui a pour conséquence que la Cour n'est pas liée par les</w:t>
      </w:r>
    </w:p>
    <w:p>
      <w:r>
        <w:t>- 10/20 -</w:t>
      </w:r>
    </w:p>
    <w:p>
      <w:r>
        <w:t>C/17997/2014 conclusions des parties (ATF 129 III 417 consid. 2.1.2; 128 III 411 consid. 3.2.2; arrêt du Tribunal fédéral 5A_132/2014 du 20 juin 2014 consid. 3.1.3).</w:t>
      </w:r>
    </w:p>
    <w:p>
      <w:r>
        <w:rPr>
          <w:b/>
        </w:rPr>
        <w:t>E. 2</w:t>
      </w:r>
    </w:p>
    <w:p>
      <w:r>
        <w:t>Les parties produisent des pièces nouvelles en appel.</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eu égard aux maximes d'office et inquisitoire illimitée régissant la procédure (art. 296 CPC), tous les nova sont admis en appel selon la jurisprudence de la Cour de céans (ACJC/1035/2015 du 11 septembre 2015 consid. 3; dans le même sens : TREZZINI, in Commentario al Codice di diritto processuale civile svizzero (CPC), 2011, p. 1394; TAPPY, Les voies de droit du nouveau Code de procédure civile, JdT 2010 III p. 115 ss, p. 139).</w:t>
      </w:r>
    </w:p>
    <w:p>
      <w:r>
        <w:t>Au vu de cette règle, les pièces nouvelles produites devant la Cour sont toutes recevables, dans la mesure où elles se rapportent soit aux relations personnelles entre les parents et l'enfant soit à la situation financière des parties, laquelle est susceptible d'influencer la contribution d'entretien due à l'enfant.</w:t>
      </w:r>
    </w:p>
    <w:p>
      <w:r>
        <w:rPr>
          <w:b/>
        </w:rPr>
        <w:t>E. 3</w:t>
      </w:r>
    </w:p>
    <w:p>
      <w:r>
        <w:t>Le litige porte tout d'abord sur la question de la garde de l'enfant. L'appelant sollicite l'instauration d'une garde partagée, considérant que les parties disposent d'une capacité de coopération et de communication suffisante. En outre, il considère que leur disponibilité, leurs aptitudes parentales respectives, ainsi que le besoin de stabilité de l'enfant plaident en faveur d'une garde partagée.</w:t>
      </w:r>
    </w:p>
    <w:p>
      <w:r>
        <w:rPr>
          <w:b/>
        </w:rPr>
        <w:t>E. 3.1</w:t>
      </w:r>
    </w:p>
    <w:p>
      <w:r>
        <w:t>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w:t>
      </w:r>
    </w:p>
    <w:p>
      <w:r>
        <w:t>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w:t>
      </w:r>
    </w:p>
    <w:p>
      <w:r>
        <w:t>- 11/20 -</w:t>
      </w:r>
    </w:p>
    <w:p>
      <w:r>
        <w:t>C/17997/2014 harmonieux (ATF 114 II 200 consid. 5a), est important. En particulier, si le juge ne peut se contenter d'attribuer l'enfant au parent qui en a eu la garde pendant la procédure, ce critère jouit ici d'un poids particulier (ATF 136 I 178 consid. 5.3; 117 II 353 consid. 3 in JdT 1994 I 183; arrêts du Tribunal fédéral 5A_46/2015 du 26 mai 2015 consid. 4.4.2; 5A_105/2014 du 6 juin 2014 consid. 4.2.1).</w:t>
      </w:r>
    </w:p>
    <w:p>
      <w:r>
        <w:t>La garde alternée est la situation dans laquelle les parents exercent en commun l'autorité parentale, mais se partagent la garde de l'enfant de manière alternée pour des périodes plus ou moins égales (arrêts du Tribunal fédéral 5A_345/2014 du</w:t>
      </w:r>
    </w:p>
    <w:p>
      <w:r>
        <w:rPr>
          <w:b/>
        </w:rPr>
        <w:t>E. 3.2</w:t>
      </w:r>
    </w:p>
    <w:p>
      <w:r>
        <w:t>En l'espèce, faute d'accord entre les parents au sujet de la garde alternée, l'intimée s'y étant opposée tout au long de la procédure, il convient d'examiner si le principe d'une telle garde est la meilleure solution pour l'intérêt et le bien-être de l'enfant au regard des circonstances du cas particulier.</w:t>
      </w:r>
    </w:p>
    <w:p>
      <w:r>
        <w:t>Pendant la vie commune, la prise en charge de l'enfant a été essentiellement assumée par l'intimée, compte tenu des problèmes de santé de l'appelant. Depuis la séparation, l'intimée a continué de s'occuper de manière prépondérante de l'enfant, même si l'appelant s'est beaucoup investi pour passer du temps avec sa fille durant la semaine. Il la voyait en effet le mardi et jeudi durant la pause de midi et à la sortie de l'école, ainsi qu'un jour supplémentaire. Cette répartition n'équivaut toutefois pas à une garde partagée, qui implique que l'enfant passe des périodes plus ou moins égales chez chacun des parents. Dès lors, l'appelant se méprend lorsqu'il prétend que la situation antérieure représentait, de fait, une garde alternée qu'il conviendrait de maintenir pour la stabilité de l'enfant.</w:t>
      </w:r>
    </w:p>
    <w:p>
      <w:r>
        <w:t>En dépit des bonnes compétences parentales des deux parents et de leur désir de s'impliquer dans l'éducation et la prise en charge de leur enfant, il convient de relever la communication ardue qui s'est instaurée entre eux depuis octobre 2014, ainsi que leur coopération limitée. Selon l'évaluation du SPMi, la communication entre les parties est fragile et sujette à discorde. Leurs relations, qui se limitent désormais à des échanges de courriers électroniques, sont devenues peu propices au dialogue et sont réduites au strict minimum pour le fonctionnement de l'enfant. Ces difficultés ne sont pas anodines puisqu'elles ont donné lieu à des courriels particulièrement virulents laissant entrevoir une certaine rancune, une intervention infructueuse du SPMi quant à la répartition de la garde de C______, un incident à l'école de celle-ci représentatif d'une mésentente persistante, ainsi qu'un changement de serrures effectué unilatéralement au domicile conjugal. Bien que les parties aient par la suite réussi à s'organiser, sans l'intervention du SPMi, concernant le droit de visite du père et la répartition des vacances, on ne peut pour autant en conclure une entente ou une coopération suffisante pour justifier une garde alternée, ce d'autant plus que les modalités du droit de visite faisaient suite à la décision judiciaire rendue le 4 décembre 2014.</w:t>
      </w:r>
    </w:p>
    <w:p>
      <w:r>
        <w:t>Dans la mesure où la garde alternée suppose une collaboration plus étroite que celle existant entre les parties, leurs problèmes relationnels et de communication, qui constituent l'une des circonstances à prendre en considération, plaident davantage en défaveur de la garde conjointe.</w:t>
      </w:r>
    </w:p>
    <w:p>
      <w:r>
        <w:t>Les écritures d'appel des parties, comprenant des mémoires longs de 25 pages au cours desquels ces dernières se rejettent mutuellement la responsabilité quant au manque de coopération, ne font que refléter leur manque de confiance réciproque ainsi que leur collaboration insuffisante.</w:t>
      </w:r>
    </w:p>
    <w:p>
      <w:r>
        <w:t>- 13/20 -</w:t>
      </w:r>
    </w:p>
    <w:p>
      <w:r>
        <w:t>C/17997/2014</w:t>
      </w:r>
    </w:p>
    <w:p>
      <w:r>
        <w:t>Partant si la garde alternée présente certes l'avantage que l'enfant puisse passer plus de temps avec ses deux parents, force est de constater qu'elle s'avère en l'état prématurée.</w:t>
      </w:r>
    </w:p>
    <w:p>
      <w:r>
        <w:t>Par ailleurs, l'appelant ne tient aucunement compte des trajets supplémentaires qui seraient engendrés par l'instauration de la garde partagée, compte tenu de son nouveau domicile situé à G______. A cet égard, il admet lui-même que les trajets pour aller à l'école depuis son domicile sont contraignants, au point qu'il envisageait de partager l'ancien domicile conjugal afin d'y exercer son droit de visite.</w:t>
      </w:r>
    </w:p>
    <w:p>
      <w:r>
        <w:t>Au vu de ce qui précède, tant la stabilité de l'enfant, que le manque de coparentalité ou encore les inconvénients pratiques qu'impliquerait la garde alternée justifient le refus d'instaurer une telle garde à ce stade. Ainsi, contrairement à l'avis de l'appelant, l'opposition de l'intimée n'est pas le seul élément qui fonde la décision du premier juge, laquelle ne prête pas flanc à la critique.</w:t>
      </w:r>
    </w:p>
    <w:p>
      <w:r>
        <w:t>C'est également à bon droit que le Tribunal a attribué la garde de l'enfant à la mère, compte tenu du fait qu'elle s'en est occupée de manière prépondérante durant la vie commune et la séparation des parties et du fait qu'elle représente une figure stable de référence.</w:t>
      </w:r>
    </w:p>
    <w:p>
      <w:r>
        <w:t>Par conséquent, la décision du Tribunal d'attribuer la garde de l'enfant à l'intimée est conforme à l'intérêt de celle-ci et sera confirmée. 4. Reste à examiner si le droit de visite accordé à l'appelant est conforme au bien de l'enfant.</w:t>
      </w:r>
    </w:p>
    <w:p>
      <w:r>
        <w:rPr>
          <w:b/>
        </w:rPr>
        <w:t>E. 4</w:t>
      </w:r>
    </w:p>
    <w:p>
      <w:r>
        <w:t>août 2014 consid. 4.2 et 5A_866/2013 du 16 avril 2014 consid. 5.2). Dans ce cadre, le juge doit examiner, nonobstant et indépendamment de l'accord des parents, s'il est compatible avec le bien de l'enfant, ce qui dépend essentiellement des circonstances du cas particulier, telles que l'âge de l'enfant, la proximité des logements parentaux entre eux et avec l'école, ainsi que la capacité de coopération des parents (arrêts du Tribunal fédéral 5A_46/2015 du 26 mai 2015 consid. 4.4.5; 5A_345/2014 du 4 août 2014 consid. 4.2 et 5A_928/2014 du 26 février 2015 consid. 4.3).</w:t>
      </w:r>
    </w:p>
    <w:p>
      <w:r>
        <w:t>Selon le message du Conseil fédéral relatif aux nouvelles dispositions entrées en vigueur le 1er juillet 2014 instaurant le principe de l'autorité parentale conjointe (art. 296 et ss, art. 7b al. 1 et 12 al. 1 Tif. fin), un parent ne peut pas déduire de ce principe le droit de pouvoir effectivement s'occuper de l'enfant pendant la moitié du temps. On ne décidera d'une garde alternée que si celle-ci est la meilleure solution pour le bien de l'enfant (Message du Conseil fédéral du 16 novembre 2011 concernant une modification du code civil suisse [Autorité parentale], FF 2011, 8315 ss, ch. 1.5.2.).</w:t>
      </w:r>
    </w:p>
    <w:p>
      <w:r>
        <w:t>Selon la jurisprudence récente, dans le cadre de l'examen d'une garde alternée, le juge peut également tenir compte de l'absence de capacité des parents à collaborer entre eux. A cet égard, bien que la seule existence et persistance de l'opposition à la garde alternée d'un parent ne suffise pas en soi à faire échec à son application, l'absence de consentement de l'un des parents laisse toutefois présager que ceux-ci auront du mal à trouver un accord sur des questions importantes concernant leur enfant et rencontreront des difficultés futures dans la collaboration entre eux (arrêts du Tribunal fédéral 5A_46/2015 du 26 mai 2015 consid. 4.4.5 et 5A_866/2013 du 16 avril 2014 consid. 5.2 et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(arrêts du Tribunal fédéral 5A_46/2015 du 26 mai 2015 consid. 4.4.5 et 5A_105/2014 du</w:t>
      </w:r>
    </w:p>
    <w:p>
      <w:r>
        <w:rPr>
          <w:b/>
        </w:rPr>
        <w:t>E. 4.1</w:t>
      </w:r>
    </w:p>
    <w:p>
      <w:r>
        <w:t>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w:t>
      </w:r>
    </w:p>
    <w:p>
      <w:r>
        <w:t>Pour apprécier les critères fixant le droit de garde et celui aux relations personnelles, le juge dispose d'un large pouvoir d'appréciation (ATF 132 III 97 consid. 1; arrêts du Tribunal fédéral 5A_825/2013 du 28 mars 2014 consid. 4.3.1 et 5A_319/2013 du 17 octobre 2013 consid. 2.1, publié in FamPra.ch 2014 p. 177).</w:t>
      </w:r>
    </w:p>
    <w:p>
      <w:r>
        <w:rPr>
          <w:b/>
        </w:rPr>
        <w:t>E. 4.2</w:t>
      </w:r>
    </w:p>
    <w:p>
      <w:r>
        <w:t>En l'espèce, le Tribunal a retenu à bon droit que l'appelant était un père investi et qu'il ne se justifiait pas de restreindre ses relations personnelles avec sa fille en raison de son état de santé psychique, lequel n'a pas d'incidence néfaste sur sa</w:t>
      </w:r>
    </w:p>
    <w:p>
      <w:r>
        <w:t>- 14/20 -</w:t>
      </w:r>
    </w:p>
    <w:p>
      <w:r>
        <w:t>C/17997/2014 relation père-fille et évolue positivement depuis 2013, selon le thérapeute qui le suit.</w:t>
      </w:r>
    </w:p>
    <w:p>
      <w:r>
        <w:t>Depuis que C______ a commencé l'école, l'appelant la voyait deux midis et deux après-midis, en plus d'un jour dans la semaine. Cela étant, depuis la rentrée scolaire 2015, ce calendrier ne peut être maintenu en raison des nouveaux horaires de l'enfant. Le nouveau système mis en place par le Tribunal, qui tient compte de manière adéquate de ces nouveaux horaires, accorde à l'appelant un jour et demi et une nuit par semaine (du mardi de la sortie d'école au mercredi soir) ainsi qu'un weekend sur deux (du vendredi sortie d'école au dimanche soir), ce qui équivaut à un droit de visite plus large que celui dont il disposait jusque-là. En outre, les grands-parents paternels pourront continuer de voir leur petite-fille tous les mercredis et/ou pendant les weekends de garde de l'appelant, de sorte que leur relation n'est pas mise à mal par le nouveau régime. Par ailleurs, il ressort des pièces du dossier que C______ s'est parfaitement intégrée au restaurant scolaire qu'elle a commencé à fréquenter, s'étant fait des camarades de jeux et participant volontiers aux activités.</w:t>
      </w:r>
    </w:p>
    <w:p>
      <w:r>
        <w:t>Ainsi, le droit aux relations personnelles réservé par le Tribunal à l'appelant, correspondant à celui préconisé par le SPMi, est adapté aux besoins de l'enfant et aux circonstances.</w:t>
      </w:r>
    </w:p>
    <w:p>
      <w:r>
        <w:t>Il sera par conséquent également confirmé. 5. Le litige porte également sur l'attribution de la jouissance du domicile conjugal.</w:t>
      </w:r>
    </w:p>
    <w:p>
      <w:r>
        <w:t>5.1 Selon l'art. 176 al. 1 ch. 2 CC, à la requête de l'un des conjoints et si la suspension de la vie commune est fondée, le juge prend les mesures en ce qui concerne le logement et le mobilier de ménage.</w:t>
      </w:r>
    </w:p>
    <w:p>
      <w:r>
        <w:t>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w:t>
      </w:r>
    </w:p>
    <w:p>
      <w:r>
        <w:t>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(arrêts du Tribunal fédéral 5A_386/2014 du 1er décembre 2014 consid. 3.1; 5A_557/2013 du 23 décembre 2013 consid. 4.1; 5A_930/2012 du 16 mai 2013 consid. 3.3.2).</w:t>
      </w:r>
    </w:p>
    <w:p>
      <w:r>
        <w:t>- 15/20 -</w:t>
      </w:r>
    </w:p>
    <w:p>
      <w:r>
        <w:t>C/17997/2014</w:t>
      </w:r>
    </w:p>
    <w:p>
      <w:r>
        <w:t>Si ce premier critère de l'utilité ne donne pas de résultat clair, le juge doit, en second lieu, examiner à quel époux on peut le plus raisonnablement imposer de déménager compte tenu de toutes les circonstances puis, en dernier lieu, tenir compte du statut juridique de l'immeuble (ATF 120 II 1 consid. 2.c; arrêts du Tribunal fédéral 5A_386/2014 précité consid. 3.1; 5A_298/2014 du 24 juillet 2014 consid. 3.3.2; 5A_951/2013 précité consid. 4.1).</w:t>
      </w:r>
    </w:p>
    <w:p>
      <w:r>
        <w:t>5.2 En l'espèce, l'intimée se voit confier la garde de l'enfant et se trouve de surcroît avec elle au domicile conjugal. Le bien-être de l'enfant, qui a construit ses repères dans cette maison et qui fréquente l'école de E______, commande à lui seul l'attribution du domicile conjugal à la mère afin que l'enfant puisse conserver l'environnement qui lui est familier et propice à son bien-être. Point n'est ainsi besoin d'examiner les autres critères d'attribution.</w:t>
      </w:r>
    </w:p>
    <w:p>
      <w:r>
        <w:t>Partant, le jugement sera confirmé sur ce point également.</w:t>
      </w:r>
    </w:p>
    <w:p>
      <w:r>
        <w:rPr>
          <w:b/>
        </w:rPr>
        <w:t>E. 6</w:t>
      </w:r>
    </w:p>
    <w:p>
      <w:r>
        <w:t>Les parties s'opposent sur la contribution d'entretien destinée à l'enfant. L'appelant estime qu'il convient de revoir le montant à la baisse en raison de la garde alternée qu'il sollicite alors que l'intimée prétend qu'il convient au contraire de le revoir à la hausse, sans toutefois articuler de montant, compte tenu des capacités de l'appelant à reprendre une activité rémunérée.</w:t>
      </w:r>
    </w:p>
    <w:p>
      <w:r>
        <w:t>6.1.1 La contribution d'entretien fixée sur mesures protectrices de l'union conjugale doit être déterminée selon les dispositions applicables à l'entretien de la famille (art. 163 ss CC; ATF 130 III 537 consid. 3.2 = SJ 2004 I 529).</w:t>
      </w:r>
    </w:p>
    <w:p>
      <w:r>
        <w:t>Selon ces dispositions,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w:t>
      </w:r>
    </w:p>
    <w:p>
      <w:r>
        <w:t>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w:t>
      </w:r>
    </w:p>
    <w:p>
      <w:r>
        <w:t>Les besoins des enfants doivent être répartis entre les père et mère en fonction de leurs capacités contributives respectives. Toutefois, le fait que le parent gardien apporte déjà une part de l'entretien en nature doit être pris en considération (arrêt du Tribunal fédéral 5A_892/2013 du 19 juillet 2014 consid. 4.4.3).</w:t>
      </w:r>
    </w:p>
    <w:p>
      <w:r>
        <w:t>- 16/20 -</w:t>
      </w:r>
    </w:p>
    <w:p>
      <w:r>
        <w:t>C/17997/2014</w:t>
      </w:r>
    </w:p>
    <w:p>
      <w:r>
        <w:t>La loi ne prescrit pas de méthode de calcul particulière pour arrêter la contribution d'entretien. Sa fixation relève de l'appréciation du juge, qui jouit d'un large pouvoir d'appréciation et applique les règles du droit et de l'équité (art. 4 CC).</w:t>
      </w:r>
    </w:p>
    <w:p>
      <w:r>
        <w:t>6.1.2 L'art. 285 al. 2 CC prévoit que,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les art. 22ter al. 1 LAVS, 35 LAI et 25 LPP affectées exclusivement à l'entretien de l'enfant (ATF 129 V 362 consid. 3.2; arrêt du Tribunal fédéral 5A_892/2013 du 29 juillet 2014 consid. 4.4.3). Ces prestations ne sont pas prises en compte dans le calcul du revenu du parent qui les reçoit (arrêts du Tribunal fédéral 5A_776/2012 du 13 mars 2013 consid. 5.2; 5A_207/2009 du 21 octobre 2009 consid. 3.2), mais sont cependant retranchées du coût d'entretien de l'enfant (ATF 128 III 305 consid. 4b; arrêts du Tribunal fédéral 5A_892/2013 du 29 juillet 2014 consid. 4.4.3; 5A_207/2009 du 21 octobre 2009 consid. 3.2 in FamPra.ch 2010 p. 226; 5C.173/2005 du 7 décembre 2005 consid. 2.3.2; BASTONS BULLETTI, L'entretien après le divorce : méthodes de calcul, montant et durée, in SJ 2007 II p. 103; art. 276 al. 3 CC).</w:t>
      </w:r>
    </w:p>
    <w:p>
      <w:r>
        <w:t>Les pensions en faveur des enfants sont destinées uniquement à couvrir les besoins de ces derniers et ne sauraient être utilisées par le parent attributaire pour couvrir son propre entretien ou améliorer son propre train de vie. Elles ne sauraient dès lors être intégrées dans les revenus du parent qui a la garde des enfants (arrêt du Tribunal fédéral 5C.251/1999 du 14 mars 2000 consid. 4b avec les références à ATF 115 Ia 325 consid. 3, JdT 1992 I 671, rés. SJ 1990 p. 604 et ATF in SJ 1992 p. 381 consid. 3b). Ces rentes doivent être versées à l'enfant, respectivement à son représentant légal, même si aucune contribution d'entretien ne peut être fixée faute de capacité contributive suffisante du parent invalide (arrêt du Tribunal fédéral 5P.346/2006 du 12 octobre 2006 consid. 3.3 et les références doctrinales citées).</w:t>
      </w:r>
    </w:p>
    <w:p>
      <w:r>
        <w:t>6.1.3 L'obligation d'entretien trouve sa limite dans la capacité contributive du débirentier, en ce sens que le minimum vital de celui-ci au sens du droit des poursuites doit en principe être préservé (ATF 137 III 59 consid. 4.2.1 et 135 III 66 consid. 2). A cet égard,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in Commentaire Romand, Code civil I, n. 9 ad. art. 176).</w:t>
      </w:r>
    </w:p>
    <w:p>
      <w:r>
        <w:t>- 17/20 -</w:t>
      </w:r>
    </w:p>
    <w:p>
      <w:r>
        <w:t>C/17997/2014 Le montant de base couvre forfaitairement notamment les dépenses de nourriture, vêtements et linge, y compris leur entretien, soins corporels et santé, entretien du logement, électricité, gaz pour la cuisine, téléphone, culture, raccord à la télévision câblée et assurances privées (telles que l'assurance ménage et responsabilité civile). A ce montant de base l'on ajoute les frais de logement effectifs, les cotisations pour l'assurance de base obligatoire, les frais professionnels, tels que les frais de déplacement nécessaires pour se rendre au travail (arrêt du Tribunal fédéral 5P.238/2005 du 28 novembre 2005 consid. 4.2.2.), les frais supplémentaires de repas à l'extérieur, les frais de garde des enfants pendant le travail et les impôts lorsque les conditions financières des époux sont favorables (arrêt du Tribunal fédéral 5C.282/2002 du 27 mars 2003 consid. 2 in FamPra 2003 p. 678; ATF 127 III 68; 126 III 353 = JdT 2002 I 62; 127 III 68 consid. 2b = JdT 2001 I 562; 127 III 289 consid 2a/bb = JdT 2002 I 236; 126 III 353 consid. 1a/aa; SJ 2012 II p. 119 ss; Normes d'insaisissabilité, ch. I et II [RS E 3 60.04]; BASTONS BULLETTI, op. cit., p. 85 ss).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op. cit., note 140 p. 90).</w:t>
      </w:r>
    </w:p>
    <w:p>
      <w:r>
        <w:rPr>
          <w:b/>
        </w:rPr>
        <w:t>E. 6.2</w:t>
      </w:r>
    </w:p>
    <w:p>
      <w:r>
        <w:t>En l'espèce, les besoins mensuels de l'enfant s'élèvent à 974 fr. 95, comprenant son minimum vital OP (400 fr.), sa part de loyer, non contestée (230 fr. 90), son assurance-maladie de base (107 fr. 65) et ses activités parascolaires (236 fr. 40). De ce montant, il convient toutefois de déduire les allocations familiales, puisque celles-ci doivent être retranchées du coût de l'enfant (cf. consid. 6.1.2 supra), à savoir 300 fr. par mois. Par conséquent, le coût de l'entretien de l'enfant s'élève à 674 fr. 95 (974 fr. 95 – 300 fr.).</w:t>
      </w:r>
    </w:p>
    <w:p>
      <w:r>
        <w:t>Ainsi qu'il en ressort du considérant 3 supra, la garde de l'enfant est attribuée de manière exclusive à l'intimée. Dès lors, l'appelant ne peut être suivi lorsqu'il requiert une diminution de la contribution d'entretien en raison de la garde alternée.</w:t>
      </w:r>
    </w:p>
    <w:p>
      <w:r>
        <w:t>L'appelant ne conteste pas que l'intégralité des rentes pour enfants qu'il perçoit soit reversée en proportion de la prise en charge de l'enfant. Ainsi et conformément à la jurisprudence en la matière, le montant de 1'882 fr., correspondant aux rentes AI et LPP pour enfant, doivent être entièrement reversées à l'enfant, soit en l'occurrence à sa mère qui en a la garde exclusive et qui s'acquitte de ses frais. Le fait que les besoins de l'enfant sont moindres que le total des rentes AI et LPP auxquelles elle a droit n'y change rien, dès lors que</w:t>
      </w:r>
    </w:p>
    <w:p>
      <w:r>
        <w:t>- 18/20 -</w:t>
      </w:r>
    </w:p>
    <w:p>
      <w:r>
        <w:t>C/17997/2014 celles-ci sont destinées exclusivement à l'enfant et ne sauraient servir au parent attributaire pour couvrir son propre entretien ou améliorer son propre train de vie.</w:t>
      </w:r>
    </w:p>
    <w:p>
      <w:r>
        <w:t>Les rentes pour enfants ne représentent pas une contribution d'entretien proprement dite mais constituent, selon la jurisprudence, des prestations destinées exclusivement à l'entretien de l'enfant, qui reviennent à la personne tenue de pourvoir à son entretien, et qui doivent lui être versées indépendamment de toute contribution d'entretien. La capacité contributive du parent invalide n'est ainsi pas déterminante en ce qui concerne le reversement desdites rentes.</w:t>
      </w:r>
    </w:p>
    <w:p>
      <w:r>
        <w:t>Au demeurant, même à considérer que lesdites rentes soient constitutives d'une contribution d'entretien dans le cadre de laquelle la situation du débirentier doit être examinée, le minimum vital de l'appelant ne s'en trouve pas entamé pour autant. En effet, il est admis que l'appelant perçoit des rentes en remplacement de revenus à concurrence de 6'906 fr. nets par mois, sans compter les rentes pour enfant. Contrairement à ce que soutient l'intimée, il n'y a pas lieu de tenir compte d'un revenu hypothétique supérieur dès lors qu'il est à ce stade encore prématuré pour envisager une reprise d'une activité professionnelle, selon le psychiatre en charge du suivi de l'appelant.</w:t>
      </w:r>
    </w:p>
    <w:p>
      <w:r>
        <w:t>Quant à ses charges mensuelles, arrêtées à 4'816 fr. 30 en première instance, l'appelant reproche au premier juge d'avoir pris en compte uniquement ses charges strictement incompressibles, sans tenir compte de ses frais supplémentaires, tels que ses frais de téléphone et d'électricité, ses frais de transport, ses primes d'assurance-maladie complémentaire, ses frais médicaux non couverts 2015, ainsi que les frais relatifs à l'entretien de son cheval. Ce faisant l'intimé perd de vue que seul son minimum vital strict doit être préservé, les dépenses supplémentaires pour maintenir son ancien niveau de vie ne pouvant être garanties que si les moyens financiers dont disposent les parties le permettent. La Cour observe encore que les frais de téléphone et d'électricité sont déjà compris dans le montant de base du minimum vital (cf. consid. 6.1.3 supra). Quant aux frais médicaux non couverts, ils ont bien été pris en compte par le Tribunal à concurrence de 140 fr. par mois. S'agissant de ses frais de transport, c'est à juste titre que le Tribunal a considéré qu'ils ne constituaient pas des charges nécessaires dans la mesure où l'appelant ne travaille pas et que ce n'est pas lui exclusivement qui s'occupe de véhiculer les enfants lors du droit de visite. En ce qui concerne la pratique de l'équitation, bien que cette activité ait contribué à lui faciliter la reprise de contact avec le monde extérieur et la fréquentation du monde à la suite de sa décompensation en 2013, il n'est pas démontré qu'elle soit encore nécessaire à ce jour, compte tenu de son état de santé actuel, fortement amélioré et contrôlé. Par ailleurs, l'appelant perçoit une rémunération de la mise en demi-pension de son cheval, couvrant ainsi une partie des frais d'entretien. Partant, les frais liés à l'entretien du cheval doivent en tout état de cause être diminués. Cela étant, même à considérer que ces frais relèvent d'une nécessité médicale, la situation de</w:t>
      </w:r>
    </w:p>
    <w:p>
      <w:r>
        <w:t>- 19/20 -</w:t>
      </w:r>
    </w:p>
    <w:p>
      <w:r>
        <w:t>C/17997/2014 l'appelant lui permet de continuer son activité équestre, dans la mesure où il dispose d'un solde disponible de 2'089 fr. 70 par mois (6'906 fr. [revenus] - 4'816 fr. 30 [charges]), largement suffisant pour couvrir l'intégralité de ces frais.</w:t>
      </w:r>
    </w:p>
    <w:p>
      <w:r>
        <w:t>Au vu de ce qui précède, le jugement entrepris sera confirmé en tant qu'il condamne l'appelant à reverser l'entier des rentes pour enfant en faveur de sa fille C______.</w:t>
      </w:r>
    </w:p>
    <w:p>
      <w:r>
        <w:rPr>
          <w:b/>
        </w:rPr>
        <w:t>E. 6.3</w:t>
      </w:r>
    </w:p>
    <w:p>
      <w:r>
        <w:t>S'agissant du dies a quo de ces versements, le Tribunal l'a fixé en septembre 2013, soit une année avant le dépôt de la requête en mesures protectrices de l'union conjugale.</w:t>
      </w:r>
    </w:p>
    <w:p>
      <w:r>
        <w:t>Contrairement à l'avis de l'appelant, le paiement de 1'882 fr., correspondant aux rentes AI et LPP pour enfant, en faveur de sa fille ne porte pas atteinte à son minimum vital, l'appelant disposant encore d'un solde disponible confortable lui permettant de s'acquitter des arriérés de contribution. A cet égard, c'est à juste titre que le premier juge n'a pas retenu le loyer de 2'830 fr. dont l'appelant s'acquittait entre mai 2013 et mai 2014 pour un appartement de 6 pièces à Genève, dans la mesure où il ne recevait qu'occasionnellement sa fille chez lui durant la nuit et qu'une telle charge, au vu des circonstances, est injustifiée au regard de sa situation financière. Par ailleurs, comme cela ressort du considérant 3.2 supra, l'appelant ne peut se prévaloir d'une garde alternée durant cette période pour justifier une prise en charge plus importante de l'enfant, cette dernière étant sous la garde de l'intimée de manière prépondérante.</w:t>
      </w:r>
    </w:p>
    <w:p>
      <w:r>
        <w:t>Les griefs de l'appelant seront dès lors rejetés.</w:t>
      </w:r>
    </w:p>
    <w:p>
      <w:r>
        <w:t>Dans la mesure où il est admis que l'appelant percevait déjà en septembre 2013 les rentes mensuelles pour enfant de 1'882 fr., le dies a quo dès cette date ne s'avère pas contraire au droit.</w:t>
      </w:r>
    </w:p>
    <w:p>
      <w:r>
        <w:t>Le jugement sera donc confirmé dans son intégralité.</w:t>
      </w:r>
    </w:p>
    <w:p>
      <w:r>
        <w:rPr>
          <w:b/>
        </w:rPr>
        <w:t>E. 7</w:t>
      </w:r>
    </w:p>
    <w:p>
      <w:r>
        <w:t>L'appelant, qui succombe, sera condamné aux frais judiciaires d'appel fixés à 2'075 fr. (art. 106 al. 1 CPC, 31 et 37 du Règlement fixant le tarif des frais en matière civile, RTFMC - E 1 05.10) et entièrement compensés avec l'avance de frais du même montant fournie par l'appelant, qui reste acquise à l'Etat (art. 111 al. 1 CPC).</w:t>
      </w:r>
    </w:p>
    <w:p>
      <w:r>
        <w:t>Vu la nature du litige, les parties conserveront à leur charge leurs propres dépens d'appel (art. 107 al. 1 let. c CPC). * * * * *</w:t>
      </w:r>
    </w:p>
    <w:p>
      <w:r>
        <w:t>- 20/20 -</w:t>
      </w:r>
    </w:p>
    <w:p>
      <w:r>
        <w:t>C/17997/2014 PAR CES MOTIFS, La Chambre civile : A la forme : Déclare recevable l'appel interjeté par A______ contre le jugement JTPI/9703/2015 rendu le 27 août 2015 par le Tribunal de première instance dans la cause C/17997/2014-4. Au fond : Confirme le jugement entrepris. Déboute les parties de toutes autres conclusions. Sur les frais : Arrête les frais judiciaires d'appel à 2'075 fr. et les met à la charge de A______. Dit qu'ils sont entièrement compensés avec l'avance de frais du même montant fournie par A______, laquelle reste acquise à l'Etat de Genève.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