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ACJC/1716/2023 vom 24. April 2017</w:t>
      </w:r>
    </w:p>
    <w:p>
      <w:r>
        <w:t>GE Cour de justice, 2017-04-24, FR</w:t>
      </w:r>
    </w:p>
    <w:p>
      <w:r>
        <w:rPr>
          <w:b/>
        </w:rPr>
        <w:t xml:space="preserve">Quelle: </w:t>
      </w:r>
      <w:r>
        <w:t>https://mcp.opencaselaw.ch/entscheid/ge_gerichte_ACJC_1716_2023</w:t>
      </w:r>
    </w:p>
    <w:p>
      <w:r>
        <w:t>FR: GE_GERICHTE ACJC/1716/2023 du 24 avril 2017</w:t>
      </w:r>
    </w:p>
    <w:p>
      <w:r>
        <w:t>IT: GE_GERICHTE ACJC/1716/2023 del 24 aprile 2017</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de 10'000 fr. au moins (art. 308 al. 1 let. b et al. 2 CPC).</w:t>
      </w:r>
    </w:p>
    <w:p>
      <w:r>
        <w:t>- 8/15 -</w:t>
      </w:r>
    </w:p>
    <w:p>
      <w:r>
        <w:t>C/13553/2019 L'intitulé erroné d'un acte de recours – au sens large – est simplement rectifié, lorsque cet acte remplit les conditions de recevabilité du recours qui aurait dû être interjeté (ATF 134 III 379). En l'espèce, l'acte adressé à la Cour de justice le 12 janvier 2022 a été intitulé à tort "recours". Il remplit toutefois les conditions formelles d'un appel au sens des art. 308 ss CPC puisqu'il est dirigé contre une décision de première instance sur mesures provisionnelles rendue dans une affaire pécuniaire, le litige portant sur la contribution d'entretien de la fille des parties devenue majeure en cours de procédure. Capitalisée selon l'art. 92 al. 2 CPC, la contribution de 1'200 fr. contestée en première instance est par ailleurs supérieure à 10'000 fr. La voie de l'appel est par conséquent ouverte; l'acte sera traité comme un appel.</w:t>
      </w:r>
    </w:p>
    <w:p>
      <w:r>
        <w:rPr>
          <w:b/>
        </w:rPr>
        <w:t>E. 1.2</w:t>
      </w:r>
    </w:p>
    <w:p>
      <w:r>
        <w:t>L'appel, écrit et motivé, est introduit dans les 30 jours à compter de la notification de la décision motivée (art. 311 CPC). En matière de mesures provisionnelles, le délai d'appel est de 10 jours (art. 248 let. d, 314 al. 1 CPC). L'appel doit être motivé dans le délai d'appel et ne peut être complété par la suite (cf. arrêt du Tribunal fédéral 4A_303/2018 du 17 octobre 2018 consid. 3.4.2 et les références citées). En l'espèce, l'acte d'appel expédié le 12 janvier 2022 a été interjeté en temps utile. En revanche, le courrier expédié le 9 février 2022, destiné à compléter l'appel après l'échéance du délai d'appel, est irrecevable.</w:t>
      </w:r>
    </w:p>
    <w:p>
      <w:r>
        <w:rPr>
          <w:b/>
        </w:rPr>
        <w:t>E. 1.3</w:t>
      </w:r>
    </w:p>
    <w:p>
      <w:r>
        <w:t>La Cour revoit la cause en fait et en droit avec un plein pouvoir d'examen (art. 310 CPC). Dans le cadre de mesures provisionnelles, la Cour se limite toutefois à la vraisemblance des faits et à l'examen sommaire du droit, en se fondant sur les moyens de preuve immédiatement disponibles tout en ayant l'obligation de peser les intérêts respectifs des parties (ATF 131 III 473 consid. 2.3). Pour les questions relatives aux enfants, la maxime d'office s'applique à l'objet du procès et la maxime inquisitoire à l'établissement des faits.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 L'obligation du juge d'établir les faits d'office ne dispense cependant pas les parties de collaborer activement à la procédure. Il leur incombe de renseigner le</w:t>
      </w:r>
    </w:p>
    <w:p>
      <w:r>
        <w:t>- 9/15 -</w:t>
      </w:r>
    </w:p>
    <w:p>
      <w:r>
        <w:t>C/13553/2019 juge sur les faits de la cause et de lui indiquer les moyens de preuve disponibles (ATF 130 III 102 consid. 2.2; arrêt du Tribunal fédéral 5A_855/2017 du 11 avril 2018 consid. 4.3.2). En l'espèce, F______ est devenue majeure le ______ mai 2020 et a acquiescé aux conclusions de sa mère, de sorte que les maximes d'office et inquisitoire s'appliquent à la présente cause.</w:t>
      </w:r>
    </w:p>
    <w:p>
      <w:r>
        <w:rPr>
          <w:b/>
        </w:rPr>
        <w:t>E. 1.4</w:t>
      </w:r>
    </w:p>
    <w:p>
      <w:r>
        <w:t>Même si l’art. 311 CPC ne le mentionne pas, le mémoire d’appel doit contenir des conclusions. Celles-ci doivent être formulées de telle sorte qu’en cas d’admission de l'appel, elles puissent être reprises dans l'arrêt à rendre sans modification (ATF 137 III 617 consid. 4.2 ss, SJ 2012 I 373; arrêt du Tribunal fédéral 5A_775/2018 du 15 avril 2019 consid. 3.4). Pour les questions relatives aux enfants, dominées par la maxime d'office et la maxime inquisitoire, le juge n'est pas lié par les conclusions des parties. Il peut attribuer non seulement moins que ce qui est requis dans les conclusions, mais aussi autre chose, voire statuer en l'absence de conclusions (arrêt du Tribunal fédéral 5A_361/2011 du 11 juillet 2013 consid. 5.3.1). En l'espèce, l'appelant, qui comparaît en personne, n'a pas pris de conclusions formelles. Cela étant, on comprend à la lecture de l'appel qu'il sollicite l'annulation de l'ordonnance entreprise, au motif qu'il ne serait pas en mesure de payer la contribution de 1'200 fr. en faveur de sa fille en sus de celle de son épouse fixée à 1'500 fr. Il soutient par ailleurs que sa fille n'aurait plus droit à une contribution puisqu'elle travaillerait et ne suivrait plus une formation professionnelle ou des études de manière sérieuse et suivie. Ainsi, au vu des maximes applicables, l'appel est recevable de ce point de vue.</w:t>
      </w:r>
    </w:p>
    <w:p>
      <w:r>
        <w:rPr>
          <w:b/>
        </w:rPr>
        <w:t>E. 1.5</w:t>
      </w:r>
    </w:p>
    <w:p>
      <w:r>
        <w:t>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l'appelant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En l'espèce, l'appelant reproche au premier juge d'avoir pris en compte les indemnités de 27'000 fr. reçues de la part de l'Etat de Genève pour le calcul de son revenu 2020. Il fait aussi grief au Tribunal de ne pas avoir ordonné à l'intimée</w:t>
      </w:r>
    </w:p>
    <w:p>
      <w:r>
        <w:t>- 10/15 -</w:t>
      </w:r>
    </w:p>
    <w:p>
      <w:r>
        <w:t>C/13553/2019 d'apporter la preuve des recherches qu'elle allègue avoir entreprises en vue d'augmenter son taux de travail. Enfin, il fait valoir que sa fille n'étudierait plus, travaillerait depuis le mois de novembre 2021 et réaliserait un revenu dont il aurait fallu tenir compte en première instance. Contrairement à ce que soutient l'intimée, l'appel est suffisamment motivé et donc recevable.</w:t>
      </w:r>
    </w:p>
    <w:p>
      <w:r>
        <w:rPr>
          <w:b/>
        </w:rPr>
        <w:t>E. 1.6</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144 III 349 consid. 4.2.1). En l'espèce, l'appelant fait nouvellement valoir en appel que sa fille ne fréquenterait plus l'université et qu'elle travaillerait depuis le mois de novembre 2021. Ces faits nouveaux sont recevables devant la Cour puisque la présente procédure est soumise à la maxime inquisitoire illimitée (cf. supra consid. 1.3).</w:t>
      </w:r>
    </w:p>
    <w:p>
      <w:r>
        <w:rPr>
          <w:b/>
        </w:rPr>
        <w:t>E. 2</w:t>
      </w:r>
    </w:p>
    <w:p>
      <w:r>
        <w:t>L'appelant fait grief au Tribunal de ne pas avoir pris en compte le fait que sa fille n'étudierait plus, mais travaillerait et percevrait un revenu, alors qu'il l'avait allégué dans son courrier du 19 novembre 2021. Il a sollicité que la Cour ordonne à cette dernière de confirmer ou d'infirmer ces allégations et de produire cas échéant les pièces utiles à établir sa situation financière. L'appelant fait aussi grief au Tribunal d'avoir mal calculé son propre revenu et d'avoir retenu que l'intimée n'était pas en mesure de participer à l'entretien de leur fille alors qu'elle pourrait augmenter son temps de travail et sa capacité contributive. 2.1.1 Selon l'art. 276 CC, auquel renvoie l'art. 133 al. 1 ch. 4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w:t>
      </w:r>
    </w:p>
    <w:p>
      <w:r>
        <w:t>2.1.2 L'obligation d'entretien des père et mère dure jusqu'à la majorité de l'enfant (art. 277 al. 1 CC). Si à sa majorité, l'enfant n'a pas encore de formation</w:t>
      </w:r>
    </w:p>
    <w:p>
      <w:r>
        <w:t>- 11/15 -</w:t>
      </w:r>
    </w:p>
    <w:p>
      <w:r>
        <w:t>C/13553/2019 appropriée, les père et mère doivent, dans la mesure où les circonstances permettent de l'exiger d'eux, subvenir à son entretien jusqu'à ce qu'il ait acquis une telle formation, pour autant qu'elle soit achevée dans les délais normaux (art. 277 al. 2 CC).</w:t>
      </w:r>
    </w:p>
    <w:p>
      <w:r>
        <w:t>La formation tend à l'acquisition de ce qui est nécessaire pour que l'enfant puisse se rendre autonome par la pleine exploitation de ses capacités, soit pour faire face par ses propres ressources aux besoins matériels de la vie.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arrêt du Tribunal fédéral 5A_246/2019 du 9 juin 2020 consid. 3.1). Il appartient à l'enfant de démontrer par la fourniture de résultats d’examens que la formation se déroule normalement, ou par des explications supplémentaires pourquoi elle a pris du retard (MEIER, Entretien de l'enfant majeur - Un état des lieux, in JdT 2019 II p. 38-39 n. 75).</w:t>
      </w:r>
    </w:p>
    <w:p>
      <w:r>
        <w:t>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5A_664/2015 du 25 janvier 2016 consid. 2.1; 5A_563/2008 du</w:t>
      </w:r>
    </w:p>
    <w:p>
      <w:r>
        <w:rPr>
          <w:b/>
        </w:rPr>
        <w:t>E. 4</w:t>
      </w:r>
    </w:p>
    <w:p>
      <w:r>
        <w:t>décembre 2008 consid. 4.1 et 5C.40/2004 du 5 mai 2004 consid. 4.1). En effet, une fois le choix de la formation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(PIOTET, Commentaire romand CC I, 2010, n° 11 ad art. 277 CC).</w:t>
      </w:r>
    </w:p>
    <w:p>
      <w:r>
        <w:t>Une maturité professionnelle constitue aujourd’hui uniquement la base nécessaire pour accomplir une formation plus complète. L'obtention d'une telle maturité ne marque donc pas la fin de la formation. Celle-ci sera achevée au terme de la formation qui suit (MEIER, Entretien de l'enfant majeur - Un état des lieux, in JdT 2019 II p. 4 n. 18).</w:t>
      </w:r>
    </w:p>
    <w:p>
      <w:r>
        <w:t>- 12/15 -</w:t>
      </w:r>
    </w:p>
    <w:p>
      <w:r>
        <w:t>C/13553/2019</w:t>
      </w:r>
    </w:p>
    <w:p>
      <w:r>
        <w:t>2.1.3 L'obligation d'entretien dépend également des relations personnelles entre les parties (arrêt du Tribunal fédéral 5A_442/2016 du 7 février 2017 consid. 4.1). Si l'inexistence de celles-ci est attribuée au seul comportement et à faute du demandeur d'aliments, il est justifié de refuser toute contribution d'entretien (ATF 113 II 374 consid. 2; arrêts du Tribunal fédéral 5A_585/2018 du 24 août 2018 consid. 3.1.1; 5A_664/2015 précité consid. 3.1 et 5A_806/2011 du 26 janvier 2012 consid. 2). 2.1.4 La loi ne prescrit pas de méthode de calcul particulière pour arrêter la contribution d'entretien. Sa fixation relève de l'appréciation du juge, lequel est néanmoins lié par la méthode uniformisée posée par le Tribunal fédéral (art. 4 CC; ATF 147 III 265 consid. 1.6). Selon cette méthode, il convient, d'une part,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Le revenu d'un indépendant est constitué par son bénéfice net, à savoir la différence entre les produits et les charges (arrêts du Tribunal fédéral 5A_874/2014 du 8 mai 2015 consid. 5.2.1; 5A_874/2014 du 8 mai 2015 consid. 5.2.1; 5A_259/2012 du 14 novembre 2012 consid. 4.1). Ce revenu doit non seulement prendre en compte le revenu de l'activité professionnelle, mais aussi les revenus de substitution dont font partie les prestations des assurances sociales et privées destinées à couvrir la perte de gain, passagère ou durable, liée à la réalisation de risques assurés (chômage, accident, maladie ou invalidité; ATF 134 III 581 consid. 3.4, JdT 2009 I 267). 2.1.5 Même dans une procédure gouvernée par la maxime inquisitoire illimitée et la maxime d'office, qui permet au tribunal d'admettre des faits et moyens de preuve nouveaux jusqu'aux délibérations (art. 229 al. 3 CPC), aucune communication au tribunal n'est admissible après le début des délibérations, c'est- à-dire, pour une juridiction composée d'un juge unique, dès que le tribunal a gardé la cause à juger (ATF 138 III 788 consid. 4.2; arrêts du Tribunal fédéral 4A_395/2017 du 11 octobre 2018 consid. 4.4.1; 5A_745/2015 du 15 juin 2016 consid. 4.3.2.3). 2.2.1 En l'espèce, c'est à juste titre que le Tribunal a accordé une contribution d'entretien en faveur de F______, même si celle-ci a atteint l'âge de la majorité en cours de procédure. En effet, au cours de l'année scolaire 2020-2021 l'intéressée</w:t>
      </w:r>
    </w:p>
    <w:p>
      <w:r>
        <w:t>- 13/15 -</w:t>
      </w:r>
    </w:p>
    <w:p>
      <w:r>
        <w:t>C/13553/2019 était étudiante au collège et elle a obtenu sa maturité bilingue allemand en juin 2021, de surcroît avec d'excellentes notes. Il a ainsi été rendu vraisemblable qu'elle allait poursuivre ses études à l'université, une maturité ne représentant qu'une étape dans une formation professionnelle. L'appelant n'ayant pas valablement allégué, en première instance, que sa fille aurait arrêté ses études après le mois de juin 2021, le Tribunal n'a à raison pas examiné cette question. Ces allégués sont en revanche recevables en appel de sorte qu'il convient d'en tenir compte. Si les parties s'accordent sur le fait que leur fille n'a pas étudié en 2022-2023, suite à l'obtention de sa maturité, les raisons de cette interruption sont contestées. Il est par ailleurs établi que l'intéressée a débuté un cursus universitaire à l'automne 2023. Les raisons médicales invoquées par l'intimée pour justifier le report du début des études de sa fille sont insuffisamment détaillées pour être admises. Elles sont par ailleurs contredites par le fait que F______ a travaillé durant cette année. Les allégations de l'appelant selon lesquelles elle aurait également voyagé ne sont pas contestées et l'intimée est demeurée silencieuse sur les activités de sa fille durant le premier semestre 2023. Selon les allégués de l'appelant, qui n'ont pas été formellement contestés, F______ a pris une année sabbatique qu'elle a partiellement consacrée à travailler pour gagner de quoi financer des voyages, entrepris d'avril à juin 2023. Une telle interruption, qui n'a pas excédé une année, alors que la fille des parties est au début de son cursus d'études et qu'elle est par ailleurs une élève prometteuse au vu de ses notes, ne saurait entraîner la perte de son droit à l'entretien. L'ordonnance entreprise sera confirmée en tant qu'elle admet le principe du droit à l'entretien de la fille des parties. 2.2.2 S'agissant de la quotité de l'entretien, l'appelant conteste la manière dont le Tribunal a estimé ses revenus. L'appelant a admis avoir comptabilisé le loyer annuel du magasin sur le seul premier semestre 2021, de sorte qu'il ne remet plus en cause l'ordonnance entreprise sous cet angle. Pour le surplus, il n'articule valablement qu'un seul grief contre le jugement entrepris, consistant dans le fait d'avoir intégré le montant de 27'000 fr., reçu à titre d'indemnisation de l'Etat pour 2020, dans ses revenus pour cet exercice. L'appelant n'a pas allégué qu'il s'agirait de montants reçus à titre de prêt qu'il devrait rembourser à l'Etat. Il s'agit donc de montants destinés à compenser la perte de gains résultant des restrictions sanitaires imposées par la pandémie de COVID-19. Partant, le Tribunal pouvait tenir compte de cette aide étatique dans le calcul des revenus de l'appelant pour l'année 2020. 2.2.3 L'appelant fait encore grief au Tribunal d'avoir retenu que l'intimée n'était pas en mesure de participer à l'entretien de leur fille. Toutefois, il n'a pas contesté le calcul du revenu et des charges de l'intimée tel qu'opéré par le Tribunal. Il</w:t>
      </w:r>
    </w:p>
    <w:p>
      <w:r>
        <w:t>- 14/15 -</w:t>
      </w:r>
    </w:p>
    <w:p>
      <w:r>
        <w:t>C/13553/2019 reproche au premier juge de ne pas avoir ordonné à l'intimée d'apporter la preuve des recherches d'emploi qu'elle allègue avoir entreprises en vue d'augmenter son taux de travail. Or, que ce soit dans sa réponse du 13 juillet 2021 ou lors de l'audience du 3 novembre 2021, l'appelant n'a pas allégué dans quelle mesure l'intimée pourrait augmenter son taux de travail, ni le salaire auquel elle pourrait éventuellement prétendre, ni, surtout, dans quel délai. Compte tenu de ce qui précède, il n'y a pas lieu, au stade des mesures provisionnelles dont la vocation n'est pas de durer au-delà de la fin de la procédure de divorce, d'imputer un revenu hypothétique à l'intimée. 2.2.4 Intégralement infondés, les griefs de l'appelant seront par conséquent rejetés et l'ordonnance entreprise sera confirmée. 3. Les frais judiciaires d’appel seront fixés à 1'000 fr. (art. 31 et 37 RTFMC), mis à la charge de l'appelant qui succombe (art. 106 al. 1 CPC) et compensés avec l’avance de frais de même montant qu'il a versée, laquelle reste acquise à l’Etat de Genève (art. 111 al. 1 CPC). Compte tenu de la nature familiale du litige, chaque partie supportera ses propres dépens d'appel (art. 107 al. 1 let. c CPC). * * * * *</w:t>
      </w:r>
    </w:p>
    <w:p>
      <w:r>
        <w:t>- 15/15 -</w:t>
      </w:r>
    </w:p>
    <w:p>
      <w:r>
        <w:t>C/13553/2019 PAR CES MOTIFS, La Chambre civile : A la forme : Déclare recevable l'appel interjeté le 12 janvier 2022 par A______ contre l'ordonnance OTPI/960/2021 rendue le 21 décembre 2021 par le Tribunal de première instance dans la cause C/13553/2019. Au fond : Confirme l'ordonnance entreprise. Déboute les parties de toutes autres conclusions. Sur les frais : Arrête les frais judiciaires à 1'000 fr., les met à la charge de A______ et les compense avec l'avance de frais fournie par celui-ci, qui demeure acquise à l'Etat de Genève. Dit que chaque partie supporte ses propres dépens d'appel.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