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ACJC/1710/2018 vom 4. Januar 2019</w:t>
      </w:r>
    </w:p>
    <w:p>
      <w:r>
        <w:t>GE Cour de justice, 2019-01-04, FR</w:t>
      </w:r>
    </w:p>
    <w:p>
      <w:r>
        <w:rPr>
          <w:b/>
        </w:rPr>
        <w:t xml:space="preserve">Quelle: </w:t>
      </w:r>
      <w:r>
        <w:t>https://mcp.opencaselaw.ch/entscheid/ge_gerichte_ACJC_1710_2018</w:t>
      </w:r>
    </w:p>
    <w:p>
      <w:r>
        <w:t>FR: GE_GERICHTE ACJC/1710/2018 du 4 janvier 2019</w:t>
      </w:r>
    </w:p>
    <w:p>
      <w:r>
        <w:t>IT: GE_GERICHTE ACJC/1710/2018 del 4 gennaio 2019</w:t>
      </w:r>
    </w:p>
    <w:p>
      <w:pPr>
        <w:pStyle w:val="Heading2"/>
      </w:pPr>
      <w:r>
        <w:t>Erwägungen</w:t>
      </w:r>
    </w:p>
    <w:p>
      <w:r>
        <w:rPr>
          <w:b/>
        </w:rPr>
        <w:t>E. 1.1</w:t>
      </w:r>
    </w:p>
    <w:p>
      <w:r>
        <w:t>Selon l'art. 308 al. 1 CPC l'appel est recevable contre les décisions finales de première instance. L'alinéa 2 de cette disposition stipule que dans les affaires patrimoniales, l'appel est recevable si la valeur litigieuse au dernier état des conclusions est de 10'000 fr. au moins. Selon l'art. 319 let a. CPC, les décisions finales, incidentes et provisionnelles de première instance qui ne peuvent faire l'objet d'un appel peuvent faire l'objet d'un recours. Selon la jurisprudence, la valeur litigieuse d'une action en contestation d'état de collocation correspond au montant du dividende prévisible (ATF 131 III 451 consid. 1.2; HIERHOLZER, Basler Kommentar, Bundesgesetz über Schuldbetreibung und Konkurs II, 2. Aufl. 2010 n° 49 ad. art. 250).</w:t>
      </w:r>
    </w:p>
    <w:p>
      <w:r>
        <w:rPr>
          <w:b/>
        </w:rPr>
        <w:t>E. 1.2</w:t>
      </w:r>
    </w:p>
    <w:p>
      <w:r>
        <w:t>Dans le cas présent, le dividende prévu pour les créanciers de 3ème rang étant de zéro pourcent, la valeur litigieuse est nulle. Dans cette mesure, contrairement à la voie de droit indiquée par le Tribunal dans son jugement, seul le recours est ouvert, comme la recourante l'a pertinemment relevé.</w:t>
      </w:r>
    </w:p>
    <w:p>
      <w:r>
        <w:rPr>
          <w:b/>
        </w:rPr>
        <w:t>E. 1.3</w:t>
      </w:r>
    </w:p>
    <w:p>
      <w:r>
        <w:t>Selon l'art. 321 al. 1 CPC, le recours, écrit et motivé, doit être introduit auprès de l'instance de recours dans les trente jours à compter de la notification de la décision motivée. Il est recevable pour violation du droit et constatation manifestement inexacte des faits (art. 320 CPC).</w:t>
      </w:r>
    </w:p>
    <w:p>
      <w:r>
        <w:rPr>
          <w:b/>
        </w:rPr>
        <w:t>E. 1.4</w:t>
      </w:r>
    </w:p>
    <w:p>
      <w:r>
        <w:t>Dans la mesure où en l'espèce, il a été déposé dans les forme et délai prévus par la loi, auprès de l'instance compétente, le recours est recevable.</w:t>
      </w:r>
    </w:p>
    <w:p>
      <w:r>
        <w:rPr>
          <w:b/>
        </w:rPr>
        <w:t>E. 2.1</w:t>
      </w:r>
    </w:p>
    <w:p>
      <w:r>
        <w:t>L'action en contestation de l'état de collocation de l'art. 250 LP est une action judiciaire du droit de l'exécution forcée qui a un objet uniquement procédural, à savoir l'admission à l'état ou le rejet définitif de la créance en cause et non la</w:t>
      </w:r>
    </w:p>
    <w:p>
      <w:r>
        <w:t>- 6/8 -</w:t>
      </w:r>
    </w:p>
    <w:p>
      <w:r>
        <w:t>C/17135/2016 reconnaissance de leur existence ou inexistence. Son effet est limité à la procédure de faillite en cours, et bien que la question de l'existence et de l'étendue du droit en cause fasse de la part du juge l'objet à titre préjudiciel d'un examen au fond fondé sur le droit matériel, le jugement - formateur - n'est pas opposable au failli qui n'est en principe pas partie à la procédure (JAQUES, Commentaire romand, Poursuite pour dettes et faillite, 2005 n° 1 ad. art. 250 LP). Le fardeau de la preuve incombe au titulaire du droit qui fait l'objet de l'action en contestation de l'état de collocation (art. 8 CC; le demandeur dans l'action contre la masse) (art. 250 al. 1 LP). Le demandeur doit prouver sa prétention quant à son existence et son montant (HIERHOLZER, Basler Kommentar 2010, n° 61 ad art. 250 LP). Selon l'art. 367 al. 1 CO, après la livraison de l'ouvrage, le maître doit en vérifier l'état aussitôt qu'il le peut d'après la marche habituelle des affaires, et en signaler les défauts à l'entrepreneur, s'il y a lieu. Selon l'art. 370 al. 2 CO, l’ouvrage est tacitement accepté lorsque le maître omet la vérification et l’avis prévus par la loi. Dans le cadre d'un recours, la Cour doit conduire son raisonnement juridique sur la base des faits retenus par le premier juge et ne peut s'en écarter que s'ils ont été établis de façon manifestement inexacte, ce qui correspond à la notion d'arbitraire. Autrement dit, l'appréciation des preuves par le premier juge ne peut être revue par la Cour que si le juge n'a manifestement pas compris le sens et la portée d'un moyen de preuves, s'il a omis sans raison sérieuse de tenir compte d'un fait important propre à modifier la décision attaquée ou encore si, sur la base des éléments recueillis, il a fait des déductions insoutenables (ATF 137 I 58 consid. 4.1.2; 136 III 552 consid. 4.2).</w:t>
      </w:r>
    </w:p>
    <w:p>
      <w:r>
        <w:rPr>
          <w:b/>
        </w:rPr>
        <w:t>E. 2.2</w:t>
      </w:r>
    </w:p>
    <w:p>
      <w:r>
        <w:t>En l'espèce, A______ SARL a produit dans la faillite de B______ SA une créance de 70'373 fr. 45, laquelle a été rejetée, ce qu'elle conteste. Il lui incombait donc d'apporter la preuve de ce que ce montant lui était dû. Or, force est d'admettre avec le Tribunal que la recourante n'a pas prouvé être détentrice d'une créance à l'encontre de l'intimée, ni même rendu vraisemblable ce fait. En faisant grief au Tribunal d'avoir violé l'article 250 LP, elle soutient en réalité que celui-ci a fait une appréciation erronée des faits. Elle estime avoir fourni toutes les pièces nécessaires de manière à démontrer l'existence de sa créance. Or, comme l'a rappelé le Tribunal, il ne ressort pas des pièces produites, essentielle- ment établies par elle-même et sur lesquelles figurent des montants dont on ignore quelle est la base, qu'une créance en dommages et intérêts issue de réparations ayant été nécessitées par des défauts allégués de la prestation de la faillie pourrait en être déduite. Avec le Tribunal, on constatera également que le dossier ne contient aucun avis des défauts, qui eut été la prémisse nécessaire à ce qu'un dommage puisse devoir être réparé à charge de l'intimée. A ce défaut, on ne voit</w:t>
      </w:r>
    </w:p>
    <w:p>
      <w:r>
        <w:t>- 7/8 -</w:t>
      </w:r>
    </w:p>
    <w:p>
      <w:r>
        <w:t>C/17135/2016 pas en quoi la constatation des faits opérée par le Tribunal serait manifestement inexacte, de sorte que ce grief doit être rejeté. En tant qu'elle invoque pour le surplus une violation de son droit à la preuve, le grief de la recourante tombe à faux. En effet, le Tribunal, qui pouvait procéder à une appréciation anticipée des preuves (art. 157 CPC), pouvait valablement retenir que l'audition des témoins sollicitée, au vu des carences présentées par la requête quant à sa motivation, confinait à la recherche indéterminée de preuves. En outre, comme rappelé plus haut, en l'absence d'un avis des défauts selon les formes prévues par les règles sur le contrat d'entreprise qui aurait pu servir de base à une prétention en dommages et intérêts, l'audition de témoins apparaissait vaine. En ce sens, le Tribunal n'a commis aucune violation du droit à la preuve.</w:t>
      </w:r>
    </w:p>
    <w:p>
      <w:r>
        <w:rPr>
          <w:b/>
        </w:rPr>
        <w:t>E. 3</w:t>
      </w:r>
    </w:p>
    <w:p>
      <w:r>
        <w:t>Par conséquent, intégralement mal fondé, le recours sera rejeté sous suite de frais à charge de la recourante et fixés à 1'200 fr. Ce montant sera compensé par l'avance de frais de même montant versée par elle et acquise à l'Etat de Genève. * * * * *</w:t>
      </w:r>
    </w:p>
    <w:p>
      <w:r>
        <w:t>- 8/8 -</w:t>
      </w:r>
    </w:p>
    <w:p>
      <w:r>
        <w:t>C/17135/2016 PAR CES MOTIFS, La Chambre civile : A la forme : Déclare recevable le recours déposé le 22 mai 2018 par A______ SARL contre le jugement JTPI/5800/2018 rendu le 16 avril 2018 par le Tribunal de première instance dans la cause C/17135/2016-10. Au fond : Le rejette et confirme le jugement attaqué. Sur les frais : Arrête les frais de recours à 1'200 fr., les met à la charge de A______ SARL et les compense en totalité avec l'avance de frais effectuée, qui reste acquise à l'Etat de Genève. Siégeant : Monsieur Cédric-Laurent MICHEL, président; Mesdames Pauline ERARD et Paola CAMPOMAGNANI, juges; Madame Sophie MARTINEZ, greffière. Le président : Cédric-Laurent MICHEL</w:t>
      </w:r>
    </w:p>
    <w:p>
      <w:r>
        <w:t>La greffière : Sophie MARTINEZ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