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ACJC/1708/2022 vom 10. Januar 2023</w:t>
      </w:r>
    </w:p>
    <w:p>
      <w:r>
        <w:t>GE Cour de justice, 2023-01-10, FR</w:t>
      </w:r>
    </w:p>
    <w:p>
      <w:r>
        <w:rPr>
          <w:b/>
        </w:rPr>
        <w:t xml:space="preserve">Quelle: </w:t>
      </w:r>
      <w:r>
        <w:t>https://mcp.opencaselaw.ch/entscheid/ge_gerichte_ACJC_1708_2022</w:t>
      </w:r>
    </w:p>
    <w:p>
      <w:r>
        <w:t>FR: GE_GERICHTE ACJC/1708/2022 du 10 janvier 2023</w:t>
      </w:r>
    </w:p>
    <w:p>
      <w:r>
        <w:t>IT: GE_GERICHTE ACJC/1708/2022 del 10 gennaio 2023</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du 3 novembre 2022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w:t>
      </w:r>
    </w:p>
    <w:p>
      <w:r>
        <w:t>- 5/9 -</w:t>
      </w:r>
    </w:p>
    <w:p>
      <w:r>
        <w:t>C/11655/2022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allégations nouvelles du recourant ne sont pas recevables (art. 326 al. 1 CPC) et la Cour examinera la cause sur la base du dossier dont disposait le Tribunal.</w:t>
      </w:r>
    </w:p>
    <w:p>
      <w:r>
        <w:rPr>
          <w:b/>
        </w:rPr>
        <w:t>E. 3</w:t>
      </w:r>
    </w:p>
    <w:p>
      <w:r>
        <w:t>Le recourant fait grief au Tribunal d'avoir refusé le prononcé de la mainlevée définitive à concurrence du montant déduit en poursuite. Il fait valoir que le désaccord des parties au sujet du montant net dû par l'intimée ne pouvait pas "mettre à néant le titre de mainlevée définitive produit par le recourant et [qu']il était du devoir de l'employé [recte: l'employeur] de prouver qu'il avait payé les contributions sociales aux institutions concernées". Il prétend ainsi qu'il aurait pu déduire en poursuite la somme de 5'736 fr. 93 (18'000 fr. - 12'263 fr. 07).</w:t>
      </w:r>
    </w:p>
    <w:p>
      <w:r>
        <w:rPr>
          <w:b/>
        </w:rPr>
        <w:t>E. 3.1</w:t>
      </w:r>
    </w:p>
    <w:p>
      <w:r>
        <w:t>Aux termes de l'art. 80 al. 1 LP, le créancier qui est au bénéfice d'un jugement exécutoire peut requérir du juge la mainlevée définitive de l'opposition. Les transactions ou reconnaissances passées en justice sont assimilées à des jugements (art. 80 al. 2 ch. 1 LP). A teneur de l'article 81 alinéa 1 LP, lorsque la poursuite est fondée sur un jugement exécutoire rendu par un tribunal ou une autorité administrative suisse, le juge ordonne la mainlevée définitive, à moins que l'opposant ne prouve par titre que la dette a été éteinte. La transaction a les effets d'une décision entrée en force (art. 208 al. 2 CPC).</w:t>
      </w:r>
    </w:p>
    <w:p>
      <w:r>
        <w:rPr>
          <w:b/>
        </w:rPr>
        <w:t>E. 3.1.1</w:t>
      </w:r>
    </w:p>
    <w:p>
      <w:r>
        <w:t>Un jugement ne justifie la mainlevée définitive que si la somme due est chiffrée; celle-ci peut, cependant, être établie par le rapprochement de plusieurs pièces. Le fait que le jugement dont se prévaut le poursuivant emporte condamnation à payer un montant brut, sous déduction des cotisations sociales - procédé par ailleurs courant - ne prive donc pas cette décision de son aptitude à constituer un titre de mainlevée définitive (arrêt du Tribunal fédéral 5P_364/2002 du 16 décembre 2002 consid. 2.1.2).</w:t>
      </w:r>
    </w:p>
    <w:p>
      <w:r>
        <w:t>- 6/9 -</w:t>
      </w:r>
    </w:p>
    <w:p>
      <w:r>
        <w:t>C/11655/2022 S’il est possible de chiffrer exactement le salaire dû après déduction des cotisations légales et conventionnelles sur la base des pièces au dossier ou des considérants du jugement invoqué comme titre à la mainlevée, l’opposition peut être levée à concurrence du montant net même si le dispositif du jugement n’est pas suffisant en lui-même (PANCHAUD/CAPREZ, La mainlevée d’opposition, § 108 n° 3; JT 1964 II 53). Lorsque le salaire alloué est un montant brut (arrêt du Tribunal fédéral 4C_319/1999, consid. 2b; BERSIER, Salaire brut ou salaire net ? La mention des cotisations d'assurances sociales dans les prétentions issues d'un contrat de travail, RSJ 1982 p. 299 ss, n. 302; SJ 1987 p. 572),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(WYLER/HEINZER, Droit du travail, 4ème éd. 2019, p. 238). Lorsque l'employé poursuit l'employeur sur la base d'un jugement condamnant le second à payer au premier un salaire brut, il appartient à l'employeur poursuivi d'invoquer et de prouver le montant des déductions sociales qu'il doit aux institutions concernées; la preuve du paiement effectif n'est en revanche pas nécessaire, les cotisations n'étant pas forcément exigibles en même temps que le salaire. Si l'employeur poursuivi ne fait pas valoir les déductions sociales, la mainlevée doit être prononcée pour le salaire brut, à tout le moins lorsque le montant net ne peut être aisément établi sur la base de motifs du jugement (ABBET/VEUILLET, La mainlevée de l'opposition, 2ème éd. 2022, n. 33 ad art. 80 LP).</w:t>
      </w:r>
    </w:p>
    <w:p>
      <w:r>
        <w:rPr>
          <w:b/>
        </w:rPr>
        <w:t>E. 3.1.2</w:t>
      </w:r>
    </w:p>
    <w:p>
      <w:r>
        <w:t>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est erroné d'additionner, respectivement de compenser (arrêt du Tribunal fédéral 5P.364/2002 du 16 décembre 2002 consid. 2.2), des sommes qui ne sont pas exprimées dans la même unité de grandeur, l'une nette et l'autre brute.</w:t>
      </w:r>
    </w:p>
    <w:p>
      <w:r>
        <w:rPr>
          <w:b/>
        </w:rPr>
        <w:t>E. 3.2</w:t>
      </w:r>
    </w:p>
    <w:p>
      <w:r>
        <w:t>En l'espèce, la transaction du 12 avril 2022 constitue un titre exécutoire au sens de l'art. 80 LP. L'intimée s'est engagée à verser au recourant la somme brute de 18'000 fr. avant fin avril 2022, ainsi qu'à établir et lui remettre une fiche de salaire mentionnant les déductions sociales et légales. L'engagement à payer un montant brut ne prive pas la transaction de son caractère de titre de mainlevée définitive.</w:t>
      </w:r>
    </w:p>
    <w:p>
      <w:r>
        <w:t>- 7/9 -</w:t>
      </w:r>
    </w:p>
    <w:p>
      <w:r>
        <w:t>C/11655/2022 L'intimée a versé au recourant 12'263 fr. 07 le 29 avril 2022, mais aucune des parties n'a produit la fiche de salaire portant sur la somme brute de 18'000 fr. que l'intimée devait établir après la conclusion de la transaction. L'intimée, à qui incombait le fardeau de la preuve, a invoqué le montant des charges sociales et légales. Pour les établir, elle a produit, d'une part, un bulletin de salaire du recourant de décembre 2021, établi quatre mois avant la conclusion de la transaction extra-judiciaire et portant sur la somme brute de 15'000 fr. et, d'autre part, une fiche de calcul difficilement compréhensible, visant vraisemblablement la somme brute de 3'000 fr. Le calcul des charges proposé par l'intimée, contesté par le recourant, ne peut ainsi pas être retenu. La part des cotisations sociales mises légalement à la charge de l'ex-employé (notamment AVS/AI/APG et AC) est facilement déterminable. En revanche, s'agissant des autres déductions dont le taux est variable (assurance-accident ou prévoyance professionnelle) ou pour d'éventuelles assurances facultatives (assurance perte de gain collective maladie ou assurance perte de gain complémentaire LAA), l'intimée n'a produit aucun justificatif permettant de calculer la somme à prélever de ce chef (cf. WYLER/HEINZER, op. cit., p. 239). Il n'appartient pas à l'ex-employé poursuivant de déterminer les charges sociales (cf. également ACJC/1107/2013 du 13 septembre 2013 consid. 2.3). Le recourant a néanmoins produit deux bulletins de salaire, l'un portant sur 15'000 fr. bruts, lui- aussi antérieur à la conclusion de la transaction et indiquant de surcroît un salaire net plus élevé que celui résultant du bulletin du 6 décembre 2021 produit par l'intimée, et l'autre portant sur 3'000 fr. qui représenteraient son salaire de janvier 2022. Ces deux pièces sont en outre contestées par l'intimé. Dans la mesure où les éléments résultant des pièces du dossier et de la transaction ne permettent pas la détermination du total net dû au recourant, le juge de la mainlevée pourrait prononcer la mainlevée définitive pour le total brut résultant du titre de mainlevée définitive, sous imputation de la somme nette déjà versée. Néanmoins, dans le cas présent, le recourant a déduit en poursuite une somme nette de 1'855 fr. 08, arrêtée par ses soins et qui ne peut être vérifiée sur la base des pièces produites. Il n'y a donc pas identité entre la prétention déduite en poursuite et le titre de mainlevée définitive présenté par le recourant. C'est donc à juste titre que le Tribunal a refusé de prononcer la mainlevée définitive requise et s'est borné à prononcer la mainlevée provisoire à concurrence du montant de 600 fr. reconnu par l'intimée lors de l'audience du 10 octobre 2022. Infondé, le recours sera donc rejeté.</w:t>
      </w:r>
    </w:p>
    <w:p>
      <w:r>
        <w:t>- 8/9 -</w:t>
      </w:r>
    </w:p>
    <w:p>
      <w:r>
        <w:t>C/11655/2022</w:t>
      </w:r>
    </w:p>
    <w:p>
      <w:r>
        <w:rPr>
          <w:b/>
        </w:rPr>
        <w:t>E. 4</w:t>
      </w:r>
    </w:p>
    <w:p>
      <w:r>
        <w:t>Les frais judiciaires du recours seront arrêtés à 300 fr. (art. 48 et 61 al. 1 OELP), mis à la charge du recourant, qui succombe (art. 106 al. 1 CPC) et compensés avec l'avance de frais effectuée, laquelle demeure à l'Etat de Genève (art. 111 al. 1 CPC).</w:t>
      </w:r>
    </w:p>
    <w:p>
      <w:r>
        <w:t>L'intimée n'a pas répondu au recours et ne réclame donc pas de dépens. * * * * *</w:t>
      </w:r>
    </w:p>
    <w:p>
      <w:r>
        <w:t>- 9/9 -</w:t>
      </w:r>
    </w:p>
    <w:p>
      <w:r>
        <w:t>C/11655/2022 PAR CES MOTIFS, La Chambre civile : A la forme : Déclare recevable le recours interjeté le 3 novembre 2022 par A______ contre le jugement JTPI/11901/2022 rendu le 10 octobre 2022 par le Tribunal de première instance dans la cause C/11655/2022-12 SML. Au fond : Le rejette. Déboute A______ de toutes autres conclusions. Sur les frais : Arrête les frais judiciaires de recours à 300 fr., les met à la charge de A______ et les compense avec l'avance effectuée, qui demeure acquise à l'Etat de Genève.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