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ACJC/1706/2023 vom 22. Dezember 2023</w:t>
      </w:r>
    </w:p>
    <w:p>
      <w:r>
        <w:t>GE Cour de justice, 2023-12-22, FR</w:t>
      </w:r>
    </w:p>
    <w:p>
      <w:r>
        <w:rPr>
          <w:b/>
        </w:rPr>
        <w:t xml:space="preserve">Quelle: </w:t>
      </w:r>
      <w:r>
        <w:t>https://mcp.opencaselaw.ch/entscheid/ge_gerichte_ACJC_1706_2023</w:t>
      </w:r>
    </w:p>
    <w:p>
      <w:r>
        <w:t>FR: GE_GERICHTE ACJC/1706/2023 du 22 décembre 2023</w:t>
      </w:r>
    </w:p>
    <w:p>
      <w:r>
        <w:t>IT: GE_GERICHTE ACJC/1706/2023 del 22 dicembre 2023</w:t>
      </w:r>
    </w:p>
    <w:p>
      <w:pPr>
        <w:pStyle w:val="Heading2"/>
      </w:pPr>
      <w:r>
        <w:t>Erwägungen</w:t>
      </w:r>
    </w:p>
    <w:p>
      <w:r>
        <w:rPr>
          <w:b/>
        </w:rPr>
        <w:t>E. 1.1.1</w:t>
      </w:r>
    </w:p>
    <w:p>
      <w:r>
        <w:t>Selon l'art. 308 al. 1 let. b et al. 2 CPC, l'appel est recevable contre les décisions de première instance sur les mesures provisionnelles, si la valeur litigieuse est d'au moins 10'000 fr., la cause étant de nature patrimoniale. Pour les mesures provisionnelles, la valeur litigieuse est celle de la demande au fond qui a été déposée ou qui le sera (LACHAT, Procédure civile en matière de baux et loyers, 2019, p. 271). Selon l'art. 91 al. 1 CPC, la valeur litigieuse est déterminée par les conclusions. Si la durée des revenus et prestations périodiques est indéterminée ou illimitée, le capital est constitué du montant annuel du revenu ou de la prestation, multiplié par vingt (art. 92 al. 2 CPC).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w:t>
      </w:r>
    </w:p>
    <w:p>
      <w:r>
        <w:rPr>
          <w:b/>
        </w:rPr>
        <w:t>E. 1.1.2</w:t>
      </w:r>
    </w:p>
    <w:p>
      <w:r>
        <w:t>En l'espèce, le sous-loyer mensuel de l'appartement s'élève à 2'000 fr., et le sous-bail ayant, selon toute vraisemblance, été conclu pour une durée</w:t>
      </w:r>
    </w:p>
    <w:p>
      <w:r>
        <w:t>- 6/9 -</w:t>
      </w:r>
    </w:p>
    <w:p>
      <w:r>
        <w:t>C/17023/2023 indéterminée, la valeur capitalisée du montant du loyer selon l'art. 92 al. 1 CPC est supérieure à 10'000 fr. La voie de l'appel est ainsi ouverte.</w:t>
      </w:r>
    </w:p>
    <w:p>
      <w:r>
        <w:rPr>
          <w:b/>
        </w:rPr>
        <w:t>E. 1.2</w:t>
      </w:r>
    </w:p>
    <w:p>
      <w:r>
        <w:t>L'appel a été formé dans le délai de dix jours prévu en matière de procédure sommaire (art. 314 CPC) - applicable aux mesures provisionnelles (art. 248 let. d CPC). Il est en conséquence recevable de ce point de vue.</w:t>
      </w:r>
    </w:p>
    <w:p>
      <w:r>
        <w:rPr>
          <w:b/>
        </w:rPr>
        <w:t>E. 1.3</w:t>
      </w:r>
    </w:p>
    <w:p>
      <w:r>
        <w:t>1.3.1 Selon l'art. 318 CPC, l'instance d'appel peut confirmer la décision attaquée (al. 1 let. a), statuer à nouveau (al. 1 let. b) ou renvoyer la cause à la première instance si un élément essentiel de la demande n'a pas été examiné ou si l'état de fait doit être complété sur des points essentiels (al. 1 let. c ch. 1 et 2).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arrêts du Tribunal fédéral 4A_207/2019 du 17 août 2020 consid. 3.2 et 4A_383/2013 du</w:t>
      </w:r>
    </w:p>
    <w:p>
      <w:r>
        <w:rPr>
          <w:b/>
        </w:rPr>
        <w:t>E. 1.3.2</w:t>
      </w:r>
    </w:p>
    <w:p>
      <w:r>
        <w:t>En l'espèce, l'appelant a conclu à l'annulation de l'ordonnance entreprise et au renvoi de la cause en première instance. Ce faisant, il n'a pris aucune conclusion réformatoire. L'appel se révèle en conséquence irrecevable.</w:t>
      </w:r>
    </w:p>
    <w:p>
      <w:r>
        <w:t>Même s'il avait été recevable, il aurait été infondé, pour les motifs qui vont suivre.</w:t>
      </w:r>
    </w:p>
    <w:p>
      <w:r>
        <w:rPr>
          <w:b/>
        </w:rPr>
        <w:t>E. 2</w:t>
      </w:r>
    </w:p>
    <w:p>
      <w:r>
        <w:t>L'appelant a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w:t>
      </w:r>
    </w:p>
    <w:p>
      <w:r>
        <w:t>- 7/9 -</w:t>
      </w:r>
    </w:p>
    <w:p>
      <w:r>
        <w:t>C/17023/2023 instance bien que la partie qui s'en prévaut ait fait preuve de la diligence requise (let. b). Les faits et moyens de preuve nouveaux doivent être invoqués « sans retard », donc en principe dans le mémoire d’appel ou dans la réponse (ATF 142 III 413 consid. 2.2.4).</w:t>
      </w:r>
    </w:p>
    <w:p>
      <w:r>
        <w:rPr>
          <w:b/>
        </w:rPr>
        <w:t>E. 2.2</w:t>
      </w:r>
    </w:p>
    <w:p>
      <w:r>
        <w:t>En l'espèce, les pièces nouvelles n. 2 et 3 ont été établies avant que le Tribunal ne garde la cause à juger. L'appelant n'explicite pas pour quelles raisons il ne les a pas versées en même temps que les deux autres pièces produites, alors qu'elles concernent celles-ci. Elles sont dès lors irrecevables, étant relevé qu'elles ne sont pas déterminantes pour l'issue du litige.</w:t>
      </w:r>
    </w:p>
    <w:p>
      <w:r>
        <w:rPr>
          <w:b/>
        </w:rPr>
        <w:t>E. 3</w:t>
      </w:r>
    </w:p>
    <w:p>
      <w:r>
        <w:t>L'appelant reproche au Tribunal de lui avoir notifié les citations et autres actes de procédure à l'adresse du siège social de C______ SÀRL.</w:t>
      </w:r>
    </w:p>
    <w:p>
      <w:r>
        <w:rPr>
          <w:b/>
        </w:rPr>
        <w:t>E. 3.1</w:t>
      </w:r>
    </w:p>
    <w:p>
      <w:r>
        <w:t>3.1.1 La citation [aux actes de procédure] indique le nom et l’adresse de la personne citée à comparaître (art. 133 al. 1 let. a CPC). La notification d'actes procéduraux doit se faire en principe à l'adresse de l'intéressé, soit au lieu de son domicile (art. 23 CC). La citation doit être adressée au lieu de domicile de la personne physique devant être citée (BOHNET/BRÜGGER, La notification en procédure civile suisse, in RDS 2010 I p. 291 ss, 307; BOHNET, Commentaire Romand, Code de procédure civile, 2ème éd. 2019, n. 9 ad art. 133 CPC; GASSER/RICKLI, Schweizerische Zivilprozessordnung, Kurzkommentar, 3ème éd. 2021, n. 5 ad art. 138 CPC). Si la personne concernée indique une autre adresse au tribunal, c'est à cette adresse que les actes lui seront notifiés, indépendamment du domicile légal (ATF 139 IV 228 consid. 1.1-1.2 et les références; cf. AUBRY GIRARDIN, Commentaire de la LTF, 3e éd. 2022, n° 5 ad art. 39 LTF; arrêt du Tribunal fédéral 5A_825/2022 du 7 mars 2023 consid. 4.3.1.).</w:t>
      </w:r>
    </w:p>
    <w:p>
      <w:r>
        <w:rPr>
          <w:b/>
        </w:rPr>
        <w:t>E. 3.1.2</w:t>
      </w:r>
    </w:p>
    <w:p>
      <w:r>
        <w:t>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w:t>
      </w:r>
    </w:p>
    <w:p>
      <w:r>
        <w:rPr>
          <w:b/>
        </w:rPr>
        <w:t>E. 3.1.3</w:t>
      </w:r>
    </w:p>
    <w:p>
      <w:r>
        <w:t>Selon l'art. 2 al. 1 CC, chacun est tenu d'exercer ses droits et d'exécuter ses obligations selon les règles de la bonne foi. L'abus manifeste d'un droit n'est pas</w:t>
      </w:r>
    </w:p>
    <w:p>
      <w:r>
        <w:t>- 8/9 -</w:t>
      </w:r>
    </w:p>
    <w:p>
      <w:r>
        <w:t>C/17023/2023 protégé par la loi (art. 2 al. 2 CC). Cette règle permet au juge de corriger les effets de la loi dans certains cas où l'exercice d'un droit allégué créerait une injustice manifeste. Le juge apprécie la question au regard des circonstances concrètes.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L'abus de droit doit être admis restrictivement, comme l'exprime l'adjectif «manifeste» utilisé dans le texte légal (ATF 143 III 279 consid. 3.1; 135 III 162 consid. 3.3.1 et les arrêts cités)</w:t>
      </w:r>
    </w:p>
    <w:p>
      <w:r>
        <w:rPr>
          <w:b/>
        </w:rPr>
        <w:t>E. 3.2</w:t>
      </w:r>
    </w:p>
    <w:p>
      <w:r>
        <w:t>En l'espèce, plusieurs des plis recommandés notifiés à l'appelant à l'adresse de la société citée supra n'ont pas été retirés à la Poste; il apparaît toutefois qu'ils ont été reçus par l'intéressé. Celui-ci a en effet donné suite, dans le délai fixé, à l'ordonnance du Tribunal, en produisant deux titres. L'avis de résiliation du contrat de sous-location mentionne cette adresse. L'appelant a lui-même, dans son courrier au Tribunal, fait état de cette même adresse. Il a admis avoir reçu la convocation à la première audience appointée par le Tribunal, faisant valoir qu'il était arrivé en retard à celle-ci. Il a pour le surplus retiré à la Poste le pli contenant l'ordonnance entreprise. Par conséquent, les actes et les citations ont été valablement adressés à l'appelant à l'adresse qu'il a indiquée. En tout état, même à retenir que les actes auraient dus être envoyés à l'adresse du domicile de l'appelant, ce qui n'est pas le cas, il conviendrait de retenir que ce grief serait invoqué de manière abusive, l'appelant ayant été atteint. L'appelant ne critique pour le surplus pas la décision querellée en tant qu'elle retient que les conditions du prononcé de mesures provisionnelles visant à faire réintégrer l'intimée dans le logement étaient réunies.</w:t>
      </w:r>
    </w:p>
    <w:p>
      <w:r>
        <w:rPr>
          <w:b/>
        </w:rPr>
        <w:t>E. 4</w:t>
      </w:r>
    </w:p>
    <w:p>
      <w:r>
        <w:t>A teneur de l'art. 22 al. 1 LaCC, il n'est pas prélevé de frais dans les causes soumises à la juridiction des baux et loyers (ATF 139 III 182 consid. 2.6). * * * * *</w:t>
      </w:r>
    </w:p>
    <w:p>
      <w:r>
        <w:t>- 9/9 -</w:t>
      </w:r>
    </w:p>
    <w:p>
      <w:r>
        <w:t>C/17023/2023 PAR CES MOTIFS, La Chambre des baux et loyers : Déclare irrecevable l'appel interjeté le 2 novembre 2023 par A______ contre l'ordonnance JTBL/860/2023 rendue le 16 octobre 2023 par le Tribunal des baux et loyers dans la cause C/17023/2023-SP. Dit que la procédure est gratuite. Siégeant : Madame Nathalie LANDRY-BARTHE, présidente; Madame Sylvie DROIN, Monsieur Laurent RIEBEN, juges; Madame Zoé SEILER, Monsieur Nicolas DAUDIN,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