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ACJC/1697/2020 vom 30. November 2020</w:t>
      </w:r>
    </w:p>
    <w:p>
      <w:r>
        <w:t>GE Cour de justice, 2020-11-30, FR</w:t>
      </w:r>
    </w:p>
    <w:p>
      <w:r>
        <w:rPr>
          <w:b/>
        </w:rPr>
        <w:t xml:space="preserve">Quelle: </w:t>
      </w:r>
      <w:r>
        <w:t>https://mcp.opencaselaw.ch/entscheid/ge_gerichte_ACJC_1697_2020</w:t>
      </w:r>
    </w:p>
    <w:p>
      <w:r>
        <w:t>FR: GE_GERICHTE ACJC/1697/2020 du 30 novembre 2020</w:t>
      </w:r>
    </w:p>
    <w:p>
      <w:r>
        <w:t>IT: GE_GERICHTE ACJC/1697/2020 del 30 novembre 2020</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w:t>
      </w:r>
    </w:p>
    <w:p>
      <w:r>
        <w:rPr>
          <w:b/>
        </w:rPr>
        <w:t>E. 2</w:t>
      </w:r>
    </w:p>
    <w:p>
      <w:r>
        <w:t>Le recourant fait grief au Tribunal d'avoir considéré qu'il lui appartenait de produire un calcul du minimum vital de l'intimée. Il soutient qu'il incombait à celle-ci de démontrer "en quoi le montant compensé en CHF 5'162.- pour la période courant du 14 août 2018 au 1er novembre 2018 (soit CHF 1'706.65 par mois) portait atteinte à son minimum vital et pour quel motif ledit montant était absolument nécessaire à son entretien, étant rappelé qu'elle n'a pas d'enfant à charge".</w:t>
      </w:r>
    </w:p>
    <w:p>
      <w:r>
        <w:rPr>
          <w:b/>
        </w:rPr>
        <w:t>E. 2.1</w:t>
      </w:r>
    </w:p>
    <w:p>
      <w:r>
        <w:t>- 5/8 -</w:t>
      </w:r>
    </w:p>
    <w:p>
      <w:r>
        <w:t>C/25423/2019</w:t>
      </w:r>
    </w:p>
    <w:p>
      <w:r>
        <w:rPr>
          <w:b/>
        </w:rPr>
        <w:t>E. 2.1.1</w:t>
      </w:r>
    </w:p>
    <w:p>
      <w:r>
        <w:t>Conformément à l'art. 81 al. 1 LP,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(ATF 124 III 501 consid. 3b et les références citées). Un tel moyen ne peut toutefois être retenu que si la créance compensante résulte elle-même d'un titre exécutoire ou qu'elle est admise sans réserve par le poursuivant (ATF 136 III 624 consid. 4.2.1; 115 III 97 consid. 4 et les références; arrêt du Tribunal fédéral 5A_65/2019 du 26 novembre 2019 consid. 4.2). Par titre exécutoire prouvant l'extinction par compensation, on entend celui qui justifierait lui-même la mainlevée définitive ou à tout le moins la mainlevée provisoire (ATF 115 III 97 consid. 4; arrêt du Tribunal fédéral 5D_43/2019 du 24 mai 2019 consid. 5.2.1 et l'autre référence citée). Contrairement à ce qui vaut pour la mainlevée provisoire (art. 82 al. 2 LP), le poursuivi ne peut se contenter de rendre vraisemblable sa libération, mais doit en apporter la preuve stricte (ATF 136 III 624 consid. 4.2.1 et les références). Il appartient au poursuivi d'établir non seulement par titre la cause de l'extinction, mais aussi le montant exact à concurrence duquel la dette est éteinte. Il n'incombe ni au juge de la mainlevée ni au créancier d'établir cette somme (ATF 124 III 501 consid. 3b; arrêts du Tribunal fédéral 5A_49/2020 du 6 mai 2020 consid. 4.1; 5A_719/2019 du 23 mars 2020 consid. 3.3.2; 5A_416/2019 du 11 octobre 2019 consid. 4.3). La procédure de mainlevée d'opposition est soumise à la maxime des débats (art. 55 CPC, art. 255 CPC a contrario; arrêt du Tribunal fédéral 5A_734/2018 du</w:t>
      </w:r>
    </w:p>
    <w:p>
      <w:r>
        <w:rPr>
          <w:b/>
        </w:rPr>
        <w:t>E. 2.1.2</w:t>
      </w:r>
    </w:p>
    <w:p>
      <w:r>
        <w:t>Selon l'art. 120 al. 1 CO, lorsque deux personnes sont débitrices l'une envers l'autre de sommes d'argent ou d'autres prestations de même espèce, chacune des parties peut compenser sa dette avec sa créance, si les deux dettes sont exigibles.</w:t>
      </w:r>
    </w:p>
    <w:p>
      <w:r>
        <w:t>Les créances dont la nature spéciale exige le paiement effectif entre les mains du créancier, telles que des aliments et le salaire absolument nécessaires à l'entretien du débiteur et de sa famille, ne peuvent être éteintes par compensation contre la volontiers du créancier (art. 125 ch. 2 CO).</w:t>
      </w:r>
    </w:p>
    <w:p>
      <w:r>
        <w:t>La notion d'aliments recouvre les prestations ayant pour but de permettre au créancier de se procurer nourriture, soins, vêtements et logement convenables. Ces prestations peuvent trouver leur origine dans la loi, à l'exemple des pensions</w:t>
      </w:r>
    </w:p>
    <w:p>
      <w:r>
        <w:t>- 6/8 -</w:t>
      </w:r>
    </w:p>
    <w:p>
      <w:r>
        <w:t>C/25423/2019 du droit de la famille (JEANDIN, in Commentaire romand, Code des obligations I, 2ème éd. 2012, n. 7 ad art. 125 CO). Le créancier économiquement faible doit recevoir effectivement les prestations qui lui sont nécessaires (ATF 88 II 299).</w:t>
      </w:r>
    </w:p>
    <w:p>
      <w:r>
        <w:t>La compensation suppose l'évaluation préalable de la quote-part concrète non compensable des prestations d'entretien (ATF 115 III 97 consid. 4d = JdT 1991 II 47).</w:t>
      </w:r>
    </w:p>
    <w:p>
      <w:r>
        <w:t>En matière de contributions d'entretien, le créancier de l'entretien peut faire échec à la compensation invoquée par le débiteur d'entretien en établissant par titre que la créance est insaisissable car absolument nécessaire à son entretien ou à celui de sa famille (art. 125 ch. 2 CO; ABBET/VEUILLET, La mainlevée de l'opposition, 2017, n. 17 ad art. 81 LP).</w:t>
      </w:r>
    </w:p>
    <w:p>
      <w:r>
        <w:t>La doctrine et la jurisprudence retiennent pour critère le minimum vital dont se sert l'office des poursuites pour déterminer la part saisissable de certains revenus du débiteur (art. 93 LP). En conséquence, l'interdiction de compenser n'entrera pas en ligne de compte dans la mesure où, ayant pour but de permettre au bénéficiaire de mener une existence conforme à sa situation sociale, les prestations visées excèdent ce qui est "absolument nécessaire" (ATF 88 II 299 consid. 6b) (JEANDIN, op. cit., n. 8 ad art. 125 CO).</w:t>
      </w:r>
    </w:p>
    <w:p>
      <w:r>
        <w:rPr>
          <w:b/>
        </w:rPr>
        <w:t>E. 2.2</w:t>
      </w:r>
    </w:p>
    <w:p>
      <w:r>
        <w:t>En l'espèce, il est admis que l'intimée dispose d'un titre de mainlevée définitive pour le montant déduit en poursuite. Le recourant allègue toutefois en compensation une créance de 5'162 fr. Le capital résultant des décisions cantonale et fédérale rendues les 30 août 2013 et 1er avril 2014 est de 4'100 fr. au total (600 fr. + 3'500 fr.) et le montant des intérêts allégué par le recourant (qui est donc de 1'062 fr. soit 5'162 fr. - 4'100 fr.), n'a pas été contesté par l'intimée en première instance. La quotité de la créance compensante, soit 5'126 fr., n'a d'ailleurs pas été remise en question, mais a été reprise telle quelle par l'intimée dans son courrier du 15 novembre 2018 au recourant. Contrairement à ce que l'intimée soutient pour la première fois dans sa duplique, la contestation du principe de la compensation n'implique pas celle de la quotité de la créance compensante.</w:t>
      </w:r>
    </w:p>
    <w:p>
      <w:r>
        <w:t>Par ailleurs, l'intimée, pour faire échec à la compensation, s'est bornée à invoquer l'art. 125 ch. 2 CO, sans tenter d'établir que les conditions légales de cette disposition étaient réalisées. Pour la période du 29 novembre 2016 à octobre 2018, elle a perçu du recourant au total 549'182 fr. 70 (518'262 fr. + 30'920 fr. 70) à titre de contributions d'entretien, soit une moyenne de l'ordre de 23'800 fr. par mois. Elle n'a pas apporté la preuve, qui lui incombait, du fait que ce dernier montant ne lui suffisait pas à se procurer nourriture, soins, vêtements et logement convenables et que la somme de 5'162 fr. lui était nécessaire pour ce faire. Ainsi, contrairement à ce qu'a retenu le Tribunal, l'interdiction de compenser n'entrait pas en ligne de compte.</w:t>
      </w:r>
    </w:p>
    <w:p>
      <w:r>
        <w:t>- 7/8 -</w:t>
      </w:r>
    </w:p>
    <w:p>
      <w:r>
        <w:t>C/25423/2019</w:t>
      </w:r>
    </w:p>
    <w:p>
      <w:r>
        <w:t>Le recours se révèle ainsi fondé. Dans la mesure où la cause est en état d'être jugé (art. 327 al. 3 let. b CPC), le chiffre 1 du dispositif du jugement attaqué sera annulé et la requête de mainlevée définitive sera rejetée. 3. Le recourant conclut à la condamnation de l'intimée aux frais judiciaires des deux instances et à 2'000 fr. de dépens. 3.1 Les frais judiciaires des deux instances, fixés à 750 fr., soit 300 fr. pour la première instance et 450 fr. pour le recours (art. 48 et 61 OELP) seront mis à la charge de la recourante, qui succombe (art. 106 al. 1 CPC). Ils seront compensés avec les avances effectuées par les parties (300 fr. versés par l'intimée/requérante et 450 fr. versés par le recourant), lesquelles demeurent acquises à l'Etat de Genève (art. 111 al. 1 CPC). L'intimée versera ainsi 450 fr. au recourant (art. 111 al. 2 CPC).</w:t>
      </w:r>
    </w:p>
    <w:p>
      <w:r>
        <w:t>3.2 Les dépens des deux instances seront fixés sur la base du tarif cantonal, le recourant n'ayant pas déposé de note de frais (art. 105 al. 1 CPC). Ils seront arrêtés à 1'000 fr., débours et TVA compris, soit 600 fr. pour la première instance et 400 fr. pour le recours (art. 85, 88 et 90 RTFMC; art. 25 et 26 LaCC) et mis à la charge de l'intimée.</w:t>
      </w:r>
    </w:p>
    <w:p>
      <w:r>
        <w:t>3.3 Par souci de simplification, les chiffres 2 à 4 du dispositif du jugement attaqué seront intégralement annulés. * * * * *</w:t>
      </w:r>
    </w:p>
    <w:p>
      <w:r>
        <w:t>- 8/8 -</w:t>
      </w:r>
    </w:p>
    <w:p>
      <w:r>
        <w:t>C/25423/2019 PAR CES MOTIFS, La Chambre civile : A la forme : Déclare recevable le recoursle recours interjeté le 14 août 2020 par A______ contre le jugement JTPI/8724/2020 rendu le 2 juillet 2020 par le Tribunal de première instance dans la cause C/25423/2019-22 SML. Au fond : Annule le jugement attaqué et, statuant à nouveau : Rejette la requête de mainlevée définitive formée le 7 novembre 2019 par B______ à l'encontre de A______. Déboute les parties de toutes autres conclusions. Sur les frais des deux instances : Arrête les frais judiciaires des deux instances à 750 fr., les met à la charge de B______ et les compense avec les avances effectuées, qui demeurent acquises à l'Etat de Genève. Condamne B______ à verser à A______ 450 fr. à titre de restitution des frais judiciaires de recours et 1'000 fr. à titre de dépens des deux instances. Déboute les parties de toutes autres conclusions.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4</w:t>
      </w:r>
    </w:p>
    <w:p>
      <w:r>
        <w:t>décembre 2018 consid. 4.3.5 et les références). En conséquence, chaque partie doit contester les faits allégués par sa partie adverse. La question de savoir si et dans quelle mesure un fait est contesté est une question qui relève de la constatation des faits. Le défendeur peut en principe se contenter de contester les faits allégués, puisqu'il n'est pas chargé du fardeau de la preuve (arrêt du Tribunal fédéral 5A_740/2018 du 1er avril 2019 consid. 6.1.1 non publié in ATF 145 III 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