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ACJC/1697/2016 vom 16. Dezember 2016</w:t>
      </w:r>
    </w:p>
    <w:p>
      <w:r>
        <w:t>GE Cour de justice, 2016-12-16, FR</w:t>
      </w:r>
    </w:p>
    <w:p>
      <w:r>
        <w:rPr>
          <w:b/>
        </w:rPr>
        <w:t xml:space="preserve">Quelle: </w:t>
      </w:r>
      <w:r>
        <w:t>https://mcp.opencaselaw.ch/entscheid/ge_gerichte_ACJC_1697_2016</w:t>
      </w:r>
    </w:p>
    <w:p>
      <w:r>
        <w:t>FR: GE_GERICHTE ACJC/1697/2016 du 16 décembre 2016</w:t>
      </w:r>
    </w:p>
    <w:p>
      <w:r>
        <w:t>IT: GE_GERICHTE ACJC/1697/2016 del 16 dicembre 2016</w:t>
      </w:r>
    </w:p>
    <w:p>
      <w:pPr>
        <w:pStyle w:val="Heading2"/>
      </w:pPr>
      <w:r>
        <w:t>Erwägungen</w:t>
      </w:r>
    </w:p>
    <w:p>
      <w:r>
        <w:rPr>
          <w:b/>
        </w:rPr>
        <w:t>E. 1.1</w:t>
      </w:r>
    </w:p>
    <w:p>
      <w:r>
        <w:t>L'appel est dirigé contre une décision finale dans une cause dont la valeur litigieuse est supérieure à 10'000 fr. au vu des montants de la contribution d'entretien litigieuse réclamés devant le premier juge (art. 308 al. 1 let. a et b et al. 2 CPC; art. 92 al. 2 CPC).</w:t>
      </w:r>
    </w:p>
    <w:p>
      <w:r>
        <w:t>Interjeté dans le délai et la forme prescrits par la loi (art. 142 al. 1 et 3; 145 al. 1 let. c et 311 al. 1 CPC), l'appel est recevable.</w:t>
      </w:r>
    </w:p>
    <w:p>
      <w:r>
        <w:rPr>
          <w:b/>
        </w:rPr>
        <w:t>E. 1.2</w:t>
      </w:r>
    </w:p>
    <w:p>
      <w:r>
        <w:t>La Cour revoit la cause en fait et en droit avec un plein pouvoir d'examen (art. 310 CPC) et applique les maximes inquisitoire et d'office illimitée dans la mesure où le litige concerne un enfant mineur (art. 296 al. 1 et 3 CPC).</w:t>
      </w:r>
    </w:p>
    <w:p>
      <w:r>
        <w:t>La procédure simplifiée est applicable (art. 295 CPC).</w:t>
      </w:r>
    </w:p>
    <w:p>
      <w:r>
        <w:rPr>
          <w:b/>
        </w:rPr>
        <w:t>E. 2</w:t>
      </w:r>
    </w:p>
    <w:p>
      <w:r>
        <w:t>Les parties ont produit des pièces nouvelles en 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un enfant mineur,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w:t>
      </w:r>
    </w:p>
    <w:p>
      <w:r>
        <w:t>- 7/15 -</w:t>
      </w:r>
    </w:p>
    <w:p>
      <w:r>
        <w:t>C/26855/2014 svizzero (CPC), 2011, p. 1394; TAPPY, Les voies de droit du nouveau Code de procédure civile, JdT 2010 III p. 115 ss, p. 139).</w:t>
      </w:r>
    </w:p>
    <w:p>
      <w:r>
        <w:t>Il s'ensuit que l'ensemble des pièces nouvelles produites par les parties, ainsi que les faits s'y rapportant, sont recevables dans la mesure où elles concernent la situation financière des parents, laquelle est susceptible d'influencer la contribution d'entretien litigieuse due à l'enfant mineur.</w:t>
      </w:r>
    </w:p>
    <w:p>
      <w:r>
        <w:t>L'intimé soutient que les faits relatifs à l'état de santé de l'appelant sont irrecevables, ceux-ci ayant été allégués, selon lui, pour la première fois en appel. Or, il ressort du dossier que les certificats médicaux des 14 décembre 2015 et 22 janvier 2016 ont été produits par l'appelant en première instance dans le délai imparti par le Tribunal à cet effet. Partant, tant les certificats médicaux précités, que les faits y relatifs, sont recevables en l'espèce.</w:t>
      </w:r>
    </w:p>
    <w:p>
      <w:r>
        <w:rPr>
          <w:b/>
        </w:rPr>
        <w:t>E. 3</w:t>
      </w:r>
    </w:p>
    <w:p>
      <w:r>
        <w:t>L'appelant conteste les montants de la contribution d'entretien mis à sa charge. Il remet en cause les besoins de son fils arrêtés par le premier juge et fait grief à ce dernier de lui avoir imputé un revenu hypothétique.</w:t>
      </w:r>
    </w:p>
    <w:p>
      <w:r>
        <w:rPr>
          <w:b/>
        </w:rPr>
        <w:t>E. 3.1</w:t>
      </w:r>
    </w:p>
    <w:p>
      <w:r>
        <w:t>L'enfant peut agir contre son père et sa mère afin de leur réclamer l'entretien pour l'avenir et pour l'année qui précède l'ouverture de l'action (art. 279 CC).</w:t>
      </w:r>
    </w:p>
    <w:p>
      <w:r>
        <w:t>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(art. 285 al. 1 CC).</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 arrêt du Tribunal fédéral 5A_96/2012 du 18 avril 2013 consid. 5.1.2). Le juge dispose d'un large pouvoir d'appréciation (ATF 127 III 136 consid. 3.a). La jurisprudence admet la méthode dite du «minimum vital» (ATF 127 III 68, JdT 2001 I 562 consid. 2b; 126 III 353, JdT 2002 I 162 consid. 1a/aa).</w:t>
      </w:r>
    </w:p>
    <w:p>
      <w:r>
        <w:t>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w:t>
      </w:r>
    </w:p>
    <w:p>
      <w:r>
        <w:t>- 8/15 -</w:t>
      </w:r>
    </w:p>
    <w:p>
      <w:r>
        <w:t>C/26855/2014 méthode de calcul, montant, durée et limites, in SJ 2007 II p. 77 ss, p. 102; ACJC/1261/2015 du 16 octobre 2015 consid. 4.1).</w:t>
      </w:r>
    </w:p>
    <w:p>
      <w:r>
        <w:t>Une dette peut être prise en considération dans le calcul du minimum vital lorsque celle-ci a été assumée avant la fin du ménage commun aux fins de l'entretien de la famille, mais non lorsqu'elle a été assumée au profit d'un seul membre de celle-ci (ATF 127 III 289 consid. 2a/bb et les références ; BASTONS BULLETTI, op. cit., p. 90).</w:t>
      </w:r>
    </w:p>
    <w:p>
      <w:r>
        <w:t>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w:t>
      </w:r>
    </w:p>
    <w:p>
      <w:r>
        <w:rPr>
          <w:b/>
        </w:rPr>
        <w:t>E. 4</w:t>
      </w:r>
    </w:p>
    <w:p>
      <w:r>
        <w:t>Selon l'art. 286 al. 1 in fine CC, le juge peut ordonner que la contribution d'entretien soit augmentée ou réduite dès que des changements déterminés interviennent dans le coût de la vie.</w:t>
      </w:r>
    </w:p>
    <w:p>
      <w:r>
        <w:t>L'indexation d'une contribution d'entretien ne peut être ordonnée que si l'on peut s'attendre à ce que les revenus du débiteur soient régulièrement adaptés au coût de la vie (arrêt du Tribunal fédéral 5C.171/2006 du 13 décembre 2006, consid. 5.1; ATF 115 II 309 consid. 1, in JdT 1992 I 323). Cette institution permet de garantir le pouvoir d'achat de l'enfant créancier d'aliments, auquel il n'incombe pas de supporter par avance les conséquences du renchérissement (ATF 126 III 353 consid. 1b, in JdT 2002 I 162).</w:t>
      </w:r>
    </w:p>
    <w:p>
      <w:r>
        <w:t>En l'espèce, l'appelant a le statut de salarié de sa propre société, ce qui justifierait d'indexer la contribution d'entretien à l'indice genevois des prix à la consommation. Toutefois, la contribution due à l'entretien de l'intimé a été fixée sur la base d'un salaire hypothétique, de sorte que l'on ne peut s'attendre à ce que celui-ci augmente régulièrement en fonction du coût de la vie. Partant, la pension à laquelle l'appelant été condamné ne sera pas indexée.</w:t>
      </w:r>
    </w:p>
    <w:p>
      <w:r>
        <w:t>Le jugement entrepris sera également modifié sur ce point.</w:t>
      </w:r>
    </w:p>
    <w:p>
      <w:r>
        <w:rPr>
          <w:b/>
        </w:rPr>
        <w:t>E. 5</w:t>
      </w:r>
    </w:p>
    <w:p>
      <w:r>
        <w:t>Lorsque la Cour réforme en tout ou en partie le jugement entrepris, elle se prononce aussi sur les frais de première instance (art. 318 al. 3 CPC).</w:t>
      </w:r>
    </w:p>
    <w:p>
      <w:r>
        <w:t>- 13/15 -</w:t>
      </w:r>
    </w:p>
    <w:p>
      <w:r>
        <w:t>C/26855/2014</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5.1</w:t>
      </w:r>
    </w:p>
    <w:p>
      <w:r>
        <w:t>En l'espèce, en ce qui concerne les frais de première instance et leur répartition, conformes aux normes précitées et au demeurant non contestés, ils seront confirmés par la Cour.</w:t>
      </w:r>
    </w:p>
    <w:p>
      <w:r>
        <w:rPr>
          <w:b/>
        </w:rPr>
        <w:t>E. 5.2</w:t>
      </w:r>
    </w:p>
    <w:p>
      <w:r>
        <w:t>Les frais judiciaires d'appel seront fixés à 1'500 fr. (art. 32 et 35 RTFMC) et mis à la charge des parties pour moitié chacune, compte tenu de l'issue et de la nature du litige (art. 95 et 107 al. 1 let. c CPC).</w:t>
      </w:r>
    </w:p>
    <w:p>
      <w:r>
        <w:t>L'appelant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Pour le surplus, chaque partie supportera ses propres dépens, vu la nature du litige (art. 95 al. 3 et 107 al. 1 let. c CPC). * * * * *</w:t>
      </w:r>
    </w:p>
    <w:p>
      <w:r>
        <w:t>- 14/15 -</w:t>
      </w:r>
    </w:p>
    <w:p>
      <w:r>
        <w:t>C/26855/2014 PAR CES MOTIFS, La Chambre civile : A la forme : Déclare recevable l'appel interjeté le 10 juin 2016 par A______ contre le jugement JTPI/5779/2016 rendu le 3 mai 2016 par le Tribunal de première instance dans la cause C/26855/2014. Au fond : Annule les chiffres 1 et 2 du dispositif de ce jugement et, statuant à nouveau : Condamne A______ à verser en mains de C______, par mois et d'avance, à titre de contribution à l'entretien de B______, né le 9 mai 2013, les sommes suivantes : - 700 fr. dès le prononcé de la présente décision jusqu'aux 10 ans révolus de B______ ; - 900 fr. jusqu'à sa majorité, voire au-delà en cas d'études sérieuses et régulières, mais au maximum jusqu'à ses 25 ans. Dit que la contribution d'entretien précitée ne sera pas indexée à l'indice genevois des prix à la consommation. Confirme pour le surplus ce jugement. Déboute les parties de toutes autres ou contraires conclusions. Sur les frais : Arrête les frais judiciaires d'appel à 1'500 fr. et les met à la charge de chacune des parties par moitié. Dit que les frais à la charge de A______ sont provisoirement supportés par l'Etat de Genève. Condamne B______ à verser le montant de 750 fr. aux Services financiers du Pouvoir judiciaire. Dit que chaque partie supporte ses propres dépens d'appel. Siégeant : Monsieur Cédric-Laurent MICHEL, président; Madame Pauline ERARD, Madame Paola CAMPOMAGNANI, juges; Madame Camille LESTEVEN, greffière. Le président : Cédric-Laurent MICHEL</w:t>
      </w:r>
    </w:p>
    <w:p>
      <w:r>
        <w:t>La greffière : Camille LESTEVEN</w:t>
      </w:r>
    </w:p>
    <w:p>
      <w:r>
        <w:t>- 15/15 -</w:t>
      </w:r>
    </w:p>
    <w:p>
      <w:r>
        <w:t>C/26855/2014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