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ACJC/1690/2016 vom 11. Mai 2016</w:t>
      </w:r>
    </w:p>
    <w:p>
      <w:r>
        <w:t>GE Cour de justice, 2016-05-11, FR</w:t>
      </w:r>
    </w:p>
    <w:p>
      <w:r>
        <w:rPr>
          <w:b/>
        </w:rPr>
        <w:t xml:space="preserve">Quelle: </w:t>
      </w:r>
      <w:r>
        <w:t>https://mcp.opencaselaw.ch/entscheid/ge_gerichte_ACJC_1690_2016</w:t>
      </w:r>
    </w:p>
    <w:p>
      <w:r>
        <w:t>FR: GE_GERICHTE ACJC/1690/2016 du 11 mai 2016</w:t>
      </w:r>
    </w:p>
    <w:p>
      <w:r>
        <w:t>IT: GE_GERICHTE ACJC/1690/2016 del 11 maggio 2016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et 311 al. 1 CPC).</w:t>
      </w:r>
    </w:p>
    <w:p>
      <w:r>
        <w:rPr>
          <w:b/>
        </w:rPr>
        <w:t>E. 1.2</w:t>
      </w:r>
    </w:p>
    <w:p>
      <w:r>
        <w:t>La Cour revoit la cause avec un plein pouvoir d’examen (art. 310 CPC). Elle applique en outre la maxime des débats et le principe de disposition (art. 55 al. 1 et 58 al. 1 CPC).</w:t>
      </w:r>
    </w:p>
    <w:p>
      <w:r>
        <w:rPr>
          <w:b/>
        </w:rPr>
        <w:t>E. 1.3</w:t>
      </w:r>
    </w:p>
    <w:p>
      <w:r>
        <w:t>Les parties ont produit des pièces nouvelles.</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que sont toutefois admis, pour autant qu'ils soient produits dans le délai de recours, les précédents et avis de droit visant uniquement à renforcer et à développer le point de vue d'une partie (ACJC/444/2015 du 24 avril 2015 consid. 2.1 et ACJC/699/2014 du 20 mai 2014 consid. 3.1; cf. aussi arrêt du Tribunal fédéral 4A_170/2015 du 28 octobre 2015 consid. 1), étant relevé que le droit étranger ne relève, en principe, pas du fait, mais du droit de sorte qu'une interdiction de présenter des moyens de preuve nouveaux ne s'y applique pas (ATF 138 III 232 consid. 4.2.4).</w:t>
      </w:r>
    </w:p>
    <w:p>
      <w:r>
        <w:rPr>
          <w:b/>
        </w:rPr>
        <w:t>E. 1.3.2</w:t>
      </w:r>
    </w:p>
    <w:p>
      <w:r>
        <w:t>En l'espèce, les pièces produites par les parties sont recevables, dès lors qu'il s'agit de divers articles de journaux et de doctrine, ainsi que de précédents judiciaires et de documents publiés par la FINMA tendant à étoffer leur argumentaire juridique.</w:t>
      </w:r>
    </w:p>
    <w:p>
      <w:r>
        <w:rPr>
          <w:b/>
        </w:rPr>
        <w:t>E. 2</w:t>
      </w:r>
    </w:p>
    <w:p>
      <w:r>
        <w:t>L'intimée étant sise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w:t>
      </w:r>
    </w:p>
    <w:p>
      <w:r>
        <w:rPr>
          <w:b/>
        </w:rPr>
        <w:t>E. 3.1</w:t>
      </w:r>
    </w:p>
    <w:p>
      <w:r>
        <w:t>Il n'est pas contesté que les parties sont liées par une relation juridique complexe comportant des éléments caractéristiques d’un compte courant (pour le</w:t>
      </w:r>
    </w:p>
    <w:p>
      <w:r>
        <w:t>- 8/21 -</w:t>
      </w:r>
    </w:p>
    <w:p>
      <w:r>
        <w:t>C/7302/2015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w:t>
      </w:r>
    </w:p>
    <w:p>
      <w:r>
        <w:rPr>
          <w:b/>
        </w:rPr>
        <w:t>E. 3.2</w:t>
      </w:r>
    </w:p>
    <w:p>
      <w:r>
        <w:t>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2ème éd., 2012, n. 5 ad art. 475 CO; cf. ég. ATF 100 II 153,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l'intimée peuvent l'emporter sur le droit de cette dernière à obtenir la restitution de ses avoirs.</w:t>
      </w:r>
    </w:p>
    <w:p>
      <w:r>
        <w:rPr>
          <w:b/>
        </w:rPr>
        <w:t>E. 4</w:t>
      </w:r>
    </w:p>
    <w:p>
      <w:r>
        <w:t>L'appelante se prévaut de l'art. 119 CO, exposant que le Tribunal a retenu à tort l'immutabilité des droits suisse et français. 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4.1.1 Selon l'art. 119 al. 1 CO, l'obligation s'éteint lorsque l'exécution devient impossible par suite de circonstances non imputables au débiteur. Cette disposition régit l'impossibilité subséquente, par opposition à l'impossibilité originaire, qui rend le contrat nul en vertu de l'art. 20 al. 1 CO. L'impossibilité</w:t>
      </w:r>
    </w:p>
    <w:p>
      <w:r>
        <w:t>- 9/21 -</w:t>
      </w:r>
    </w:p>
    <w:p>
      <w:r>
        <w:t>C/7302/2015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w:t>
      </w:r>
    </w:p>
    <w:p>
      <w:r>
        <w:t>4.1.2 L'art. 3 al. 2 let. c LB relatif aux conditions d'autorisation de la banque à exercer son activité, en vigueur depuis le 1er juillet 1971, prévoit que l'autorisation est accordée lorsque les personnes chargées d'administrer et de gérer la banque jouissent d'une bonne réputation et présentent toutes garanties d'une activité irréprochable. Selon l'art. 3f LB, en vigueur depuis le 1er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1er février 1994 au 31 décembre 2014, prévoyait que la banque fixait, dans un règlement ou dans des directives internes, les principes de gestion des risques ainsi que les compétences et la procédure en matière d'octroi de l'autorisation d'effectuer des opérations à risques. La banque devait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le 1er janvier 2015. 4.1.3 Selon l'art. 7 de la loi de surveillance des marchés financiers (LFINMA, RS 956.1), la FINMA adopte des ordonnances lorsque la législation sur les marchés financiers le prévoit et des circulaires afin de préciser les modalités d'application de la législation sur les marchés financiers. Les ordonnances établies par la FINMA font partie intégrante du droit suisse dans la mesure où elles sont publiées au Recueil systématique (cf. par exemple l'Ordonnance sur les audits des marchés financiers, RS 956.161). Il résulte d'un rapport du 22 octobre 2010, intitulé "Position de la FINMA à propos des risques juridiques et de réputation dans le cadre des activités</w:t>
      </w:r>
    </w:p>
    <w:p>
      <w:r>
        <w:t>- 10/21 -</w:t>
      </w:r>
    </w:p>
    <w:p>
      <w:r>
        <w:t>C/7302/2015 financières transfrontières",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La LFINMA ne prévoit ni directement ni explicitement une obligation pour les assujettis de respecter le droit étranger. La violation du droit étranger peut enfreindre certaines dispositions de surveillance suisses sujettes à interprétation, comme l'exigence de la garantie d'une activité irréprochable. Dans une circulaire 2008/21 intitulé "Risques opérationnels–banques", destinée à entrer en vigueur le 1er juillet 2017, la FINMA a indiqué s'attendre notamment à ce que les banques autorisées à pratiquer en Suisse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 LOMBARDINI, Banques et clients en situation fiscale irrégulière : un état des lieux, Not@lex, Revue de droit privé et fiscal du patrimoine, 2/2015, pp. 33ss, p. 45).</w:t>
      </w:r>
    </w:p>
    <w:p>
      <w:r>
        <w:t>- 11/21 -</w:t>
      </w:r>
    </w:p>
    <w:p>
      <w:r>
        <w:t>C/7302/2015 4.1.4 En droit français, la fraude fiscale est visée par l'art. 1741 du Code général des impôts français, qui prévoit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500'000 EUR et d'un emprisonnement de cinq ans. Dans sa version initiale, datant du 1er juillet 1979, cette disposition légale avait une teneur similaire, bien que prévoyant des peines moins importantes (source : legifrance.gouv.fr). Des circonstances aggravantes, introduites par la loi n° 2013-1117 du 6 décembre 2013, portent les peines à 2'000'000 EUR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1er janvier 2002 en 375'000 EUR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w:t>
      </w:r>
    </w:p>
    <w:p>
      <w:r>
        <w:rPr>
          <w:b/>
        </w:rPr>
        <w:t>E. 4.2</w:t>
      </w:r>
    </w:p>
    <w:p>
      <w:r>
        <w:t>En l'espèce, aucune modification importante n'est survenue dans le cadre juridique bancaire suisse, ni dans les dispositions de droit pénal français invoquées par l'appelante depuis l'ouverture des relations bancaires avec l'intimée en 2012. En effet, la législation bancaire suisse n'a introduit aucune disposition nouvelle prévoyant l'obligation explicite de respecter le droit étranger, ou plus</w:t>
      </w:r>
    </w:p>
    <w:p>
      <w:r>
        <w:t>- 12/21 -</w:t>
      </w:r>
    </w:p>
    <w:p>
      <w:r>
        <w:t>C/7302/2015 particulièrement faisant interdiction aux banques suisses de transférer vers une autre relation bancaire ou de remettre au moyen d'un chèque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et le projet de circulaire publié le 1er mars 2016, destiné à entrer en vigueur le 1er juillet 2017, s'inscrivent dans un contexte de prise de consciences de 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ait changé. Cette position de la FINMA ne peut ainsi constituer une modification juridique survenue postérieurement à la conclusion du contrat, qui rendrait impossible le respect de ce dernier. C'est par ailleurs en vain que l'appelante invoque ses directives internes et sa politique de gestion des risques.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2012. Certes, une modification a été apportée, par la loi n° 2013-1117 du 6 décembre 2013, à l'art. 1741 du Code général des impôts français. Toutefois, celle-ci ne vise que la peine menace de l'infraction réprimée, les faits constitutifs de la fraude fiscale restant inchangés. Ainsi, lors de l'ouverture du compte bancaire de l'intimée auprès de l'appelante, l'acceptation, la détention et la gestion des fonds litigieux pouvaient déjà être constitutives de complicité de fraude fiscale et de blanchiment d'argent selon le droit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w:t>
      </w:r>
    </w:p>
    <w:p>
      <w:r>
        <w:t>- 13/21 -</w:t>
      </w:r>
    </w:p>
    <w:p>
      <w:r>
        <w:t>C/7302/2015</w:t>
      </w:r>
    </w:p>
    <w:p>
      <w:r>
        <w:rPr>
          <w:b/>
        </w:rPr>
        <w:t>E. 5</w:t>
      </w:r>
    </w:p>
    <w:p>
      <w:r>
        <w:t>L'appelante conteste l'interprétation de ses conditions générales à laquelle s'est livré le Tribunal. Elle fait valoir que celui-ci a, par erreur, retenu que le terme "opération" figure à l'art. 7.______ CG alors que les termes "retraits" et "transferts" sont utilisés. En outre, la banque avait proposé une alternative à l'ordre donné par la cliente, soit un transfert en faveur de l'ayant-droit économique vers un établissement bancaire situé en Europe, dans un pays de l'OCDE, ou en Suisse. Cette alternative n'a pas été examinée par le Tribunal. L'art. 7.______ CG ne viole pas l'art. 475 al. 1 CO.</w:t>
      </w:r>
    </w:p>
    <w:p>
      <w:r>
        <w:rPr>
          <w:b/>
        </w:rPr>
        <w:t>E. 5.1</w:t>
      </w:r>
    </w:p>
    <w:p>
      <w:r>
        <w:t>Aux termes de l'art. 1er CO,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au sens de l'art. 1er CO, au même titre que celui qui appose sa signature sur le texte même des conditions générales. Il importe peu à cet égard qu'il ait réellement lu les conditions générales en question (ATF 119 III 443 consid. 1a; arrêt du Tribunal fédéral 5A_511/2012 du 8 octobre 2012 consid. 5.1).</w:t>
      </w:r>
    </w:p>
    <w:p>
      <w:r>
        <w:t>À teneur de l'art. 6 CO, lorsque l'auteur de l'offre ne devait pas, en raison soit de la nature spéciale de l'affaire, soit des circonstances, s'attendre à une acceptation expresse, le contrat est réputé conclu si l'offre n'a pas été refusée dans un délai convenable. Dans ce contexte, une clause de modification unilatérale des conditions générales, pour peu qu'elle soit valide, doit prévoir une forme de la communication des nouvelles dispositions adoptées permettant au client d'être informé de manière adéquate, afin de respecter l'art. 6 CO (PERRIG, Schweizerisches Recht der Allgemeinen Geschäftsbedingungen, Berne 2016, n. 123). Une banque ne peut pas se prévaloir de sa règlementation interne pour refuser de restituer des fonds au client, puisqu'il n'existe alors qu'une impossibilité subjective, fondée sur des règles qui ne lient que la banque et non le client (EMMENEGGER/GOOD, Der Einfluss ausländischer (Steuer-) Regulierung auf die Bank/Kunden-Beziehung : Welche Rechte haben Abschleicher?, in: Susan Emmenegger (Hrsg.), Verhaltensregeln, Bâle 2015, p. 73).</w:t>
      </w:r>
    </w:p>
    <w:p>
      <w:r>
        <w:rPr>
          <w:b/>
        </w:rPr>
        <w:t>E. 5.2</w:t>
      </w:r>
    </w:p>
    <w:p>
      <w:r>
        <w:t>L'appelante relève à juste titre que le Tribunal a évoqué le terme "opération" dans son interprétation de l'art. 7.______ CG, alors que celui-ci ne mentionne pas ce mot, et que le Tribunal a omis de tenir compte des autres possibilités de transfert permises par cette disposition. Ces griefs sont cependant dénués de pertinence au vu de ce qui suit. L'art. 7.______ CG a été adopté et communiqué à l'intimée en février 2015, soit postérieurement à l'ordre de clôture donné en août 2014. Il n'est pas allégué que cette disposition aurait un effet rétroactif. Certes, les parties ont conclu une clause</w:t>
      </w:r>
    </w:p>
    <w:p>
      <w:r>
        <w:t>- 14/21 -</w:t>
      </w:r>
    </w:p>
    <w:p>
      <w:r>
        <w:t>C/7302/2015 d'acceptation tacite des nouvelles conditions générales (art. 5.______ CG), ce qui est en soi admissible. Toutefois, la modification des conditions générales par acceptation tacite implique que d'éventuelles modifications des clauses soient clairement communiquées à la cliente. Il n'est au contraire pas permis de modifier implicitement les conditions générales par le biais d'autres envois effectués à l'attention de la cliente, par exemple en lui notifiant l'existence d'une nouvelle politique interne. L'appelant reconnaît par ailleurs, dans sa réplique, que ses directives internes n'étaient pas applicables à la relation contractuelle avec l'intimée. L'art. 7.______ CG n'est donc, en l'occurrence, pas opposable à celle-ci. Par conséquent, il ne se justifie pas de procéder à une interprétation de cette clause, qui n'a pas été valablement intégrée au contrat. Par ailleurs, la validité d'une telle clause, qui limiterait fortement le droit de la cliente à la restitution de ses avoirs - même en l'autorisant à procéder à des transferts sur un compte bancaire à son nom dans tout pays d'Europe, de l'OCDE ou en Suisse -, apparaîtrait fortement douteuse, au vu du caractère impératif de l'art. 475 al. 1 CO (cf. arrêts du Tribunal fédéral 4A_168/2015 et 4A_170/2015 précités, au sujet de la condition imposée par la banque de conformité fiscale; cf. ég. AMADÒ, La sentenza del Tribunale federale n. 4A_168/2015, in tema di restrizioni bancarie nei rapporti tra banche e clienti, NF 12/2015 p. 43 et note 40 p. 44). Les griefs de l'appelant seront donc rejetés.</w:t>
      </w:r>
    </w:p>
    <w:p>
      <w:r>
        <w:rPr>
          <w:b/>
        </w:rPr>
        <w:t>E. 6</w:t>
      </w:r>
    </w:p>
    <w:p>
      <w:r>
        <w:t>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w:t>
      </w:r>
    </w:p>
    <w:p>
      <w:r>
        <w:rPr>
          <w:b/>
        </w:rPr>
        <w:t>E. 6.1</w:t>
      </w:r>
    </w:p>
    <w:p>
      <w:r>
        <w:t>Des instructions illicites ou contraires aux mœurs ne lient pas le mandataire, dès lors qu'en acceptant de telles instructions, ce dernier conclurait un contrat nul (WERRO, in Commentaire romand, Code des obligations I, 2ème éd., 2012, n. 8 et</w:t>
      </w:r>
    </w:p>
    <w:p>
      <w:r>
        <w:rPr>
          <w:b/>
        </w:rPr>
        <w:t>E. 6.2</w:t>
      </w:r>
    </w:p>
    <w:p>
      <w:r>
        <w:t>Au vu de ce qui précède, les instructions de l'intimée,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w:t>
      </w:r>
    </w:p>
    <w:p>
      <w:r>
        <w:t>- 15/21 -</w:t>
      </w:r>
    </w:p>
    <w:p>
      <w:r>
        <w:t>C/7302/2015 7. L'appelante se prévaut de l'art. 19 LDIP pour admettre la prise en considération des lois françaises prohibant la fraude fiscale dans les rapports contractuels des parties. Elles font valoir qu'en exécutant l'ordre litigieux, elle court le risque de poursuites pénales. 7.1 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3e éd., 2005, p. 200 n. 397a). L'application de l'art. 19 LDIP doit rester exceptionnelle de par sa ratio legis et ne vise que les personnes privées (ATF 130 III 620, JdT 2004 I 555 consid. 3.5.1 et consid. 3.5.2; arrêt du Tribunal fédéral 5C.60/2004 du 8 avril 2005 consid. 3.1.2, non publié in ATF 131 III 418).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w:t>
      </w:r>
    </w:p>
    <w:p>
      <w:r>
        <w:t>- 16/21 -</w:t>
      </w:r>
    </w:p>
    <w:p>
      <w:r>
        <w:t>C/7302/2015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47ss).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l'État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w:t>
      </w:r>
    </w:p>
    <w:p>
      <w:r>
        <w:t>- 17/21 -</w:t>
      </w:r>
    </w:p>
    <w:p>
      <w:r>
        <w:t>C/7302/2015 principe d'un devoir de diligence des intermédiaires financiers en matière fiscale et l'obligation de refuser ou de résilier la relation d'affaires lorsqu'ils présument que les valeurs proposées ou déposées "n'ont pas été ou ne seront pas fiscalisées",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 d’argent (Obligations de diligence étendues pour empêcher l’acceptation de valeurs patrimoniales non fiscalisées) du 5 juin 2015, FF 2015 3799). 7.2 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 8. L'appelante invoque encore l'exception tirée de la clausula rebus sic stantibus. 8.1 Constitue une exception au principe de la fidélité contractuelle l'application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ATF 122 III 97, JdT 1997 I 294 consid. 3a). 8.2 En l'espèce, l'appelante soutient que les modifications législatives et règlementaires initiées en 2010, ainsi que le durcissement de la législation</w:t>
      </w:r>
    </w:p>
    <w:p>
      <w:r>
        <w:t>- 18/21 -</w:t>
      </w:r>
    </w:p>
    <w:p>
      <w:r>
        <w:t>C/7302/2015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 (EMMENEGGER/GOOD, op. cit., p. 79 ss). Ce raisonnement ne peut être suivi. En effet, l'avis de doctrine en question exclut qu'un éventuel changement de circonstances eût été imprévisible, à partir de 2011, voire au printemps 2012, pour les clients européens, au vu de l'actualité de cette époque (loc. cit, p. 84). Le compte litigieux ayant été ouvert en juillet 2012, le changement invoqué était prévisible. En outre,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les relations bancaires et les a entretenues pendant de nombreuses années, sans jamais se prévaloir de l'effet de la législation fiscale étrangère sur la relation contractuelle.</w:t>
      </w:r>
    </w:p>
    <w:p>
      <w:r>
        <w:rPr>
          <w:b/>
        </w:rPr>
        <w:t>E. 9</w:t>
      </w:r>
    </w:p>
    <w:p>
      <w:r>
        <w:t>L'appelante soutient enfin que la requête de l'intimée constitue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9.1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w:t>
      </w:r>
    </w:p>
    <w:p>
      <w:r>
        <w:t>- 19/21 -</w:t>
      </w:r>
    </w:p>
    <w:p>
      <w:r>
        <w:t>C/7302/2015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9.2</w:t>
      </w:r>
    </w:p>
    <w:p>
      <w:r>
        <w:t>En l'espèce, les arguments de l'appelante doivent être écartés. L'intimée a un intérêt légitime à récupérer l'argent confié à la banque. Son comportement n'est constitutif d'aucun abus de droit.</w:t>
      </w:r>
    </w:p>
    <w:p>
      <w:r>
        <w:rPr>
          <w:b/>
        </w:rPr>
        <w:t>E. 10.1</w:t>
      </w:r>
    </w:p>
    <w:p>
      <w:r>
        <w:t>L'appelante reproche au Tribunal de n'avoir pas tenu compte de certains débits effectués sur le compte de l'intimée en 2015 et correspondant aux frais d'administration. Le Tribunal a, selon elle, omis de déduire ces débits du montant qui devait être versé à l'intimée suite à la clôture de son compte.</w:t>
      </w:r>
    </w:p>
    <w:p>
      <w:r>
        <w:t>Il est vrai que le Tribunal, dans sa partie en fait, a mentionné les débits en question et évoqué les pièces correspondantes déposées par l'intimée lors de l'audience du 25 février 2016, ainsi que le témoignage recueilli à ce sujet. Aucun développement sur ce point ne figure ensuite dans la partie en droit du jugement querellé. Le Tribunal a finalement déduit, dans le dispositif, les débits qui avaient été exécutés en faveur de tiers.</w:t>
      </w:r>
    </w:p>
    <w:p>
      <w:r>
        <w:t>Nonobstant l'absence de considérations à ce sujet dans le jugement, cette solution est correcte, dès lors qu'il a été démontré que la banque, après avoir automatiquement débité les frais perçus pour l'année 2015 - soit les débits présentement litigieux -, les a restitués au client, sans explication. Elle a évoqué par la suite la crainte de poursuites pénales par la voix de son employé, mais n'a pas étayé ce point. La banque ne consacre aucun développement dans ses écritures d'appel aux raisons de cette restitution, n'invoque aucun fondement contractuel à ces frais et n'a pris aucune conclusion correspondante. Il convient donc d'en déduire qu'elle a renoncé à les percevoir.</w:t>
      </w:r>
    </w:p>
    <w:p>
      <w:r>
        <w:rPr>
          <w:b/>
        </w:rPr>
        <w:t>E. 10.2</w:t>
      </w:r>
    </w:p>
    <w:p>
      <w:r>
        <w:t>L'appelante conclut, subsidiairement, à la déduction d'une somme de 2'413 fr. 68 correspondant, selon elle, à des frais de tenue de comptes et d'administration depuis l'introduction de la demande, ainsi que "tout autre frais", du montant devant être versé à l'intimée à la suite de la clôture de son compte.</w:t>
      </w:r>
    </w:p>
    <w:p>
      <w:r>
        <w:t>Pour peu que cette conclusion nouvelle soit recevable, l'appelante n'y consacre aucun développement dans ses écritures, ni ne fournit aucune preuve de la réalité des frais qu'elle invoque, de sorte que sa prétention sera écartée.</w:t>
      </w:r>
    </w:p>
    <w:p>
      <w:r>
        <w:rPr>
          <w:b/>
        </w:rPr>
        <w:t>E. 10.3</w:t>
      </w:r>
    </w:p>
    <w:p>
      <w:r>
        <w:t>Le jugement entrepris sera donc confirmé.</w:t>
      </w:r>
    </w:p>
    <w:p>
      <w:r>
        <w:t>- 20/21 -</w:t>
      </w:r>
    </w:p>
    <w:p>
      <w:r>
        <w:t>C/7302/2015</w:t>
      </w:r>
    </w:p>
    <w:p>
      <w:r>
        <w:rPr>
          <w:b/>
        </w:rPr>
        <w:t>E. 11</w:t>
      </w:r>
    </w:p>
    <w:p>
      <w:r>
        <w:t>Les frais judiciaires d'appel, arrêtés à 20'000 fr. (art. 17 et 35 RTFMC), seront mis à la charge de l'appelante, qui succombe (art. 95 al. 2 et 106 al. 1 CPC). Ils seront compensés avec l'avance fournie par elle, qui reste acquise à l'Etat (art. 111 al. 1 CPC). L'appelante sera par ailleurs condamnée à verser à l'intimée la somme de 10'000 fr. à titre de dépens d'appel, débours compris (art. 84, 85 et 90 RTFMC, art. 25 et 26 LaCC), étant précisé que les prestations du conseil de l'intimée ne sont pas soumises à la TVA (arrêt du Tribunal fédéral 4A_623/2015 du 3 mars 2016). * * * * *</w:t>
      </w:r>
    </w:p>
    <w:p>
      <w:r>
        <w:t>- 21/21 -</w:t>
      </w:r>
    </w:p>
    <w:p>
      <w:r>
        <w:t>C/7302/2015 PAR CES MOTIFS, La Chambre civile : A la forme : Déclare recevable l'appel interjeté par A.______ SA contre le jugement JTPI/6156/2016 rendu le 11 mai 2016 par le Tribunal de première instance dans la cause C/7302/2015-8. Au fond : Confirme ce jugement. Déboute les parties de toutes autres conclusions. Sur les frais : Arrête les frais judiciaires d'appel à 20'000 fr., les met à la charge de A.______ SA et dit qu'ils sont compensés avec l'avance de frais, qui reste acquise à l'Etat de Genève. Condamne A.______ SA à payer à B.______ SA la somme de 10'000 fr. à titre de dépens d'appel. Siégeant : Madame Florence KRAUSKOPF, présidente; Madame Sylvie DROIN, Monsieur Ivo BUETTI, juges; Madame Camille LESTEVEN, greffière.</w:t>
      </w:r>
    </w:p>
    <w:p>
      <w:r>
        <w:t>La présidente : Florence KRAUSKOPF</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