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ACJC/1686/2021 vom 23. Dezember 2021</w:t>
      </w:r>
    </w:p>
    <w:p>
      <w:r>
        <w:t>GE Cour de justice, 2021-12-23, FR</w:t>
      </w:r>
    </w:p>
    <w:p>
      <w:r>
        <w:rPr>
          <w:b/>
        </w:rPr>
        <w:t xml:space="preserve">Quelle: </w:t>
      </w:r>
      <w:r>
        <w:t>https://mcp.opencaselaw.ch/entscheid/ge_gerichte_ACJC_1686_2021</w:t>
      </w:r>
    </w:p>
    <w:p>
      <w:r>
        <w:t>FR: GE_GERICHTE ACJC/1686/2021 du 23 décembre 2021</w:t>
      </w:r>
    </w:p>
    <w:p>
      <w:r>
        <w:t>IT: GE_GERICHTE ACJC/1686/2021 del 23 dicembre 2021</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1.3</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fixation de la contribution d'entretien du conjoint dans le cadre de mesures protectrices de l'union conjugale est soumise à la maxime inquisitoire simple (art. 272 CPC) et au principe de disposition (art. 58 CPC) (ATF 129 III 417 consid. 2.1.2; arrêt du Tribunal fédéral 5A_333/2019 du 6 juillet 2020 consid. 4.1).</w:t>
      </w:r>
    </w:p>
    <w:p>
      <w:r>
        <w:t>- 11/21 -</w:t>
      </w:r>
    </w:p>
    <w:p>
      <w:r>
        <w:t>C/6329/2021</w:t>
      </w:r>
    </w:p>
    <w:p>
      <w:r>
        <w:rPr>
          <w:b/>
        </w:rPr>
        <w:t>E. 2</w:t>
      </w:r>
    </w:p>
    <w:p>
      <w:r>
        <w:t>L'appelante étant domiciliée en France, le litige présente un élément d'extranéité. Au vu de la nationalité suisse des parties, ainsi que du domicile genevois des enfants et de l'intimé, la Cour est compétente pour statuer sur les contributions d'entretien en faveur de l'épouse et des enfants, seuls points litigieux en appel (art. 46 et 79 al. 1 LDIP). Le droit suisse est applicable (art. 83 al. 1 LDIP; art. 4, 15 et 24 de la Convention de La Haye du 2 octobre 1973 sur la loi applicable aux obligations alimentaires).</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3.2</w:t>
      </w:r>
    </w:p>
    <w:p>
      <w:r>
        <w:t>En l'espèce, les pièces nouvelles produites en appel, pertinentes pour statuer sur les contributions dues à l'entretien de D______ et E______, sont ainsi recevables, de même que les allégués de fait s'y rapportant.</w:t>
      </w:r>
    </w:p>
    <w:p>
      <w:r>
        <w:rPr>
          <w:b/>
        </w:rPr>
        <w:t>E. 4</w:t>
      </w:r>
    </w:p>
    <w:p>
      <w:r>
        <w:t>L'appelante fait grief au Tribunal de l'avoir déboutée de ses conclusions en paiement de contributions à son entretien et à celui des enfants, en lui imputant un revenu hypothétique de 4'500 fr. sans délai de réinsertion. Elle soutient par ailleurs qu'un revenu hypothétique de 10'000 fr. aurait dû être mis à la charge de son époux. De son côté, l'intimé, qui conclut à la confirmation du jugement entrepris, reproche au premier juge d'avoir retenu que son activité indépendante lui procurait des revenus mensuels de l'ordre de 4'460 fr. Il soutient qu'en 2020, les revenus générés par M______ SARL se sont élevés tout au plus à 3'830 fr. par mois, compte tenu des charges d'exploitation de la F______.</w:t>
      </w:r>
    </w:p>
    <w:p>
      <w:r>
        <w:rPr>
          <w:b/>
        </w:rPr>
        <w:t>E. 4.1</w:t>
      </w:r>
    </w:p>
    <w:p>
      <w:r>
        <w:t>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w:t>
      </w:r>
    </w:p>
    <w:p>
      <w:r>
        <w:t>- 12/21 -</w:t>
      </w:r>
    </w:p>
    <w:p>
      <w:r>
        <w:t>C/6329/2021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(arrêts du Tribunal fédéral 5A_583/2018 du 18 janvier 2019 consid. 5.1; 5A_119/2017 du 30 août 2017 consid. 7.1). Par ailleurs, les enfants ont le droit de recevoir une éducation et de bénéficier d'un niveau de vie qui corresponde à la situation des parents (ATF 120 II 285 consid. 3a/cc; arrêt du Tribunal fédéral 5A_489/2019 du 24 août 2020 consid. 8.1).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w:t>
      </w:r>
    </w:p>
    <w:p>
      <w:r>
        <w:rPr>
          <w:b/>
        </w:rPr>
        <w:t>E. 4.2</w:t>
      </w:r>
    </w:p>
    <w:p>
      <w:r>
        <w:t>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même lorsqu'on ne peut plus sérieusement compter sur la reprise de la vie commune (ATF 140 III 337 consid. 4.2.1; 138 III 97 consid. 2.2; 137 III 385 consid. 3.1).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137 III 385 consid. 3.1; arrêt du Tribunal fédéral 5A_584/2018 du 10 octobre 2018 consid. 5.1.1).</w:t>
      </w:r>
    </w:p>
    <w:p>
      <w:r>
        <w:t>- 13/21 -</w:t>
      </w:r>
    </w:p>
    <w:p>
      <w:r>
        <w:t>C/6329/2021 4.3.1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des enfants mineurs (ATF 147 III 265 précité consid. 7).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w:t>
      </w:r>
    </w:p>
    <w:p>
      <w:r>
        <w:t>- 14/21 -</w:t>
      </w:r>
    </w:p>
    <w:p>
      <w:r>
        <w:t>C/6329/2021 d'assurance-maladie complémentaires. En revanche, doivent être exclus les frais de voyage et de loisirs, qui seront financés, cas échéant, par l'éventuel excédent (ATF 147 III 265 précité consid. 4.1.5 et 7.2). L'entretien de base peut être réduit en raison du coût de la vie inférieur dans le pays du domicile de l'un des conjoints par rapport à la Suisse; à Genève, une réduction de 15% pour l'époux domicilié en France est admise (OCHSNER, Le minimum vital (art. 93 al. 1 LP), in SJ 2012 II p. 135; parmi plusieurs : ACJC/308/2021 du 9 mars 2021 consid. 3.11.1; ACJC/34/2021 du 12 janvier 2021 consid. 5.2.2). En principe, lorsqu'une garde alternée a été instaurée, il n'y a pas lieu d'intégrer une participation au loyer de l'un ou l'autre parent dans les charges de l'enfant. Il en va de même pour l'entretien de base de l'enfant que chaque parent assumera pendant sa période de garde (arrêt du Tribunal fédéral 5A_200/2019 du 29 janvier 2020 consid. 4). Seules les charges effectives, à savoir celles qui sont réellement acquittées par les parties, peuvent être prises en compte pour le calcul de la contribution d'entretien (ATF 121 III 20 consid. 3a et les références citées;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 4.3.2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S'agissant de l'obligation d'entretien d'un enfant mineur, les exigences à l'égard des père et mère sont plus élevées, en particulier lorsque la situation financière est modeste (ATF 137 III 118 consid. 3.1; arrêt du Tribunal fédéral 5A_946/2018 du</w:t>
      </w:r>
    </w:p>
    <w:p>
      <w:r>
        <w:rPr>
          <w:b/>
        </w:rPr>
        <w:t>E. 6</w:t>
      </w:r>
    </w:p>
    <w:p>
      <w:r>
        <w:t>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précité consid. 3.1; 5A_764/2017 du 7 mars 2018 consid. 3.2; 5A_119/2017 du 30 août 2017 consid. 4.1). Il s'ensuit que, lorsqu'il ressort des faits que l'un des parents, ou les</w:t>
      </w:r>
    </w:p>
    <w:p>
      <w:r>
        <w:t>- 15/21 -</w:t>
      </w:r>
    </w:p>
    <w:p>
      <w:r>
        <w:t>C/6329/2021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5A_946/2018 précité consid. 3.1; 5A_119/2017 précité consid. 4.1).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se baser sur l'enquête suisse sur la structure des salaires, réalisée par l'Office fédéral de la statistique, ou sur d'autres sources (ATF 137 III 118 consid. 3.2; arrêt du Tribunal fédéral 5A_1046/2018 du 3 mai 2019 consid. 4.3).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5A_553/2020 du 16 février 2021 consid. 5.2.1 et les références citées).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Seule est déterminante la capacité propre d'un époux de réaliser un revenu; l'assistance versée par des parents en ligne directe (art. 328 CC) ne doit pas être</w:t>
      </w:r>
    </w:p>
    <w:p>
      <w:r>
        <w:t>- 16/21 -</w:t>
      </w:r>
    </w:p>
    <w:p>
      <w:r>
        <w:t>C/6329/2021 prise en compte à ce titre (arrêt du Tribunal fédéral 5A_733/2007 du 9 avril 2008 consid. 2.3). 4.3.3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5A_372/2015 du 29 septembre 2015 consid. 3.1; 5A_932/ 2015 du 10 mai 2016 consid. 4.3.2). L'effet rétroactif ne se justifie que si l'entretien dû n'a pas été assumé en nature ou en espèces ou dès qu'il a cessé de l'être (arrêt du Tribunal fédéral 5A_591/2011 du</w:t>
      </w:r>
    </w:p>
    <w:p>
      <w:r>
        <w:rPr>
          <w:b/>
        </w:rPr>
        <w:t>E. 7</w:t>
      </w:r>
    </w:p>
    <w:p>
      <w:r>
        <w:t>décembre 2011 consid. 5.2). 4.4.1 En l'espèce, il convient d'appliquer la méthode uniformisée du minimum vital avec répartition de l'excédent pour statuer sur les demandes d'entretien litigieuses, ce qui n'est pas contesté. 4.4.2 S'agissant de la capacité contributive de l'appelante, le Tribunal a retenu que celle-ci, âgée de 46 ans et en bonne santé, avait étudié les ______ en Lettonie et obtenu l'équivalent d'un Bachelor dans ce domaine (étant précisé que l'épouse n'établit pas que ce titre universitaire ne serait pas reconnu en Suisse ainsi qu'elle le prétend). Il est par ailleurs constant que l'appelante maîtrise le russe qui est sa langue maternelle et qu'elle comprend et parle le français sans difficulté particulière; il est en outre vraisemblable qu'elle possède une maîtrise (à tout le moins) rudimentaire du français écrit, puisqu'il s'agit d'une des conditions d'engagement fixées par le N______ (à savoir son employeur actuel) et qu'à teneur de son profil LinkedIn, l'appelante a suivi des cours à l'Université de Genève entre 2003 et 2005. Au surplus, si elle a quitté son poste d'employée de bureau auprès de K______ SA en 2008, à la naissance de D______, alors qu'elle réalisait un revenu mensuel moyen d'environ 7'000 fr. (6'500 fr. x 13 / 12), l'épouse a néanmoins accumulé de l'expérience dans le domaine financier et administratif au cours des années suivantes, en travaillant à temps partiel auprès d'une société de gestion de fortune (où elle s'occupait de l'accueil de la clientèle et de la gestion du courrier) et de l'hôtel dont l'intimé a été le gérant jusqu'en 2016. Vu son âge, sa formation universitaire, ses compétences linguistiques et son parcours professionnel, c'est à bon droit que le Tribunal a considéré qu'il pouvait être attendu de l'appelante qu'elle reprenne une activité lucrative à 80% afin de participer aux frais supplémentaires engendrés par la vie séparée. Cela se justifie également du fait de la garde partagée mise en place depuis la séparation, étant relevé que D______ et E______, qui sont âgées de 12 et 13 ans, ont déjà acquis une certaine autonomie. Au surplus, rien ne permet de retenir que l'intimé aurait exigé de l'appelante qu'elle renonce à travailler pour se consacrer à l'éducation des</w:t>
      </w:r>
    </w:p>
    <w:p>
      <w:r>
        <w:t>- 17/21 -</w:t>
      </w:r>
    </w:p>
    <w:p>
      <w:r>
        <w:t>C/6329/2021 enfants, ainsi qu'elle l'allègue devant la Cour, ce d'autant que la situation financière du couple s'est péjorée dès l'année 2018 (l'époux ayant épuisé son droit aux prestations de l'assurance-chômage), de telle sorte que les parties ont eu recours à l'aide financière des parents de l'intimé. Eu égard à son expérience d'une dizaine d'années dans le service à la personne et les relations avec la clientèle, le Tribunal a retenu, à juste titre, que l'on pouvait attendre de l'appelante qu'elle trouve un emploi à 80% dans le domaine financier ou administratif (plus rémunérateur que son activité de professeure de P______), par exemple auprès d'une société offrant des prestations de Family Office (étant rappelé qu'elle peut s'occuper d'une clientèle russophone). Comme employée de bureau, l'épouse pourrait réaliser un salaire mensuel brut de l'ordre de 4'700 fr. (Calculateur national de salaires [cf. https://www.ge.ch/calculateur-salaire-ligne], activités de services administratifs et de soutien, 46 ans, formation universitaire, aucune année de service, sans fonction de cadre, 32 heures par semaine, canton de Genève), correspondant à environ 4'100 fr. nets une fois les charges sociales déduites. Cette activité est raisonnablement exigible à compter du 1er août 2021, soit environ sept mois après la séparation, étant souligné que l'appelante n'a pas démontré, même au stade de la vraisemblance, avoir cherché du travail avec sérieux et assiduité depuis décembre 2020 (pas plus qu'elle ne l'a fait en 2018, quand l'intimé a épuisé son droit au chômage), les quelques pièces produites faisant état de 6-7 offres spontanées de cours de P______ (en 2018 et 2020), d'une postulation pour un poste de vendeuse (en 2019) et d'une réponse négative pour un poste auprès de S______ SA (en 2019). En audience, l'épouse a d'ailleurs admis qu'elle avait renoncé à postuler dans le domaine financier et qu'elle n'entendait pas travailler comme enseignante de P______ dans un fitness, sans donner d'explication convaincante à ce sujet. Aussi, le Tribunal était fondé à retenir que l'appelante n'avait pas fourni les efforts que l'on pouvait attendre d'elle pour se réinsérer professionnellement afin de faire face à son obligation d'entretien envers ses filles mineures. Enfin, l'appelante n'établit pas que la crise sanitaire l'aurait concrètement entravée dans ses recherches d'emploi ainsi qu'elle le fait valoir dans son appel. Dans le jugement attaqué, les charges de l'épouse ont été estimées au montant arrondi de 3'250 fr., comprenant son entretien de base (1'080 fr.; 1'350 fr. diminué de 20%), ses frais de logement (550 fr.), ses primes d'assurance-maladie (679 fr. 45), ses frais médicaux non remboursés (120 fr. 75), ses frais de téléphone (150 fr.), ses frais de véhicule (600 fr.) et ses impôts (50 fr.). Contrairement à ce que soutient l'appelante, il n'y a pas lieu d'inclure dans ses charges un loyer hypothétique de 2'500 fr. par mois. Dans la mesure où elle a conservé la jouissance du domicile conjugal suite à la séparation, le Tribunal a correctement tenu compte de ses charges de logement effectives. A cela s'ajoute que l'appelante, qui travaille à O______ depuis novembre 2018, ne prétend pas que le fait d'être</w:t>
      </w:r>
    </w:p>
    <w:p>
      <w:r>
        <w:t>- 18/21 -</w:t>
      </w:r>
    </w:p>
    <w:p>
      <w:r>
        <w:t>C/6329/2021 domiciliée en France l'empêcherait de trouver un emploi en Suisse. En revanche, son entretien de base sera arrêté à 1'148 fr. compte tenu de son domicile français (1'350 fr. diminué de 15% et non de 20% comme l'a fait le premier juge; cf. supra consid. 4.3.1). Les charges de l'appelante seront dès lors fixées au montant arrondi de 3'300 fr., les autres postes retenus par le Tribunal n'ayant fait l'objet d'aucune critique en appel. Après couverture de ses charges, l'épouse bénéficie ainsi d'un excédent de 800 fr. (4'100 fr. - 3'300 fr.). 4.4.3 Il ressort des relevés de compte de la société M______ SARL qu'en 2020, l'intimé a réalisé un revenu mensuel net de l'ordre de 4'460 fr. grâce à son activité de F______ indépendant, conformément aux calculs opérés par le Tribunal auxquels il est renvoyé en tant que de besoin. En y ajoutant le revenu locatif issu de l'appartement dont il est copropriétaire à Genève, l'intimé perçoit un revenu mensuel net de 5'175 fr. (4'460 fr. + 715 fr.) au total. Cela étant, en travaillant comme gérant dans l'hôtellerie à 100%, ainsi qu'il l'a fait jusqu'en 2016, l'intimé pourrait réaliser un salaire mensuel brut de l'ordre de 5'350 fr. (Calculateur national de salaires, hébergement et restauration, 38 ans, sans formation professionnelle complète, aucune année de service, fonction de cadre moyen, 40 heures par semaine, canton de Genève), correspondant à environ 4'700 fr. nets une fois les charges sociales déduites. Vu son âge, son état de santé et son expérience dans le domaine de l'hébergement, l'on peut dès lors attendre de l'intimé – qui n'allègue pas avoir recherché un emploi salarié suite à la séparation, en dépit des résultats d'exploitation négatifs de M______ SARL en 2018 et 2019 – qu'il réalise, à tout le moins dès le 1er août 2021, un revenu mensuel global de l'ordre de 5'400 fr. (4'700 fr. + 715 fr.). Pour le surplus, il n'est pas rendu vraisemblable que l'intimé disposerait d'une fortune mobilière de 200'000 fr. comme le soutient l'appelante. A cet égard, l'époux a exposé qu'il était propriétaire de huit œuvres d'art et qu'il en avait vendu une (parmi celles ayant le plus de valeur) en 2020 pour pouvoir disposer de liquidités et couvrir ses charges courantes suite à la séparation – ce que les relevés de son compte R______ tendent à confirmer. Il est par ailleurs constant que le bien immobilier dont l'intimé est propriétaire à C______ est occupé par l'appelante, de sorte qu'il n'en retire aucun revenu locatif. Enfin, conformément à la jurisprudence rappelée ci-avant (cf. consid. 4.3.2 in fine), l'aide financière que les parents de l'intimé ont apporté à la famille dès 2018 (voire avant) n'a pas à être comptabilisée dans les revenus de ce dernier. Après couverture de ses charges – que le Tribunal a retenues à hauteur de 3'760 fr. (entretien de base, loyer, assurance-maladie, frais d'électricité, de téléphone et d'internet, redevance radio-TV, frais de véhicule, impôts) et qui ne sont pas critiquées en appel – l'époux bénéficie ainsi d'un solde disponible de 1'640 fr.</w:t>
      </w:r>
    </w:p>
    <w:p>
      <w:r>
        <w:t>- 19/21 -</w:t>
      </w:r>
    </w:p>
    <w:p>
      <w:r>
        <w:t>C/6329/2021 4.4.4 Les charges mensuelles des enfants, allocations familiales non déduites, ont été arrêtées par le Tribunal à 900 fr. (entretien de base, assurance-maladie, frais médicaux non remboursés, frais de téléphone et de transport) pour D______, respectivement à 1'050 fr. (entretien de base, assurance-maladie, frais médicaux non remboursés, cuisines scolaires et parascolaire, frais de téléphone et de transport) pour E______. Ces montants ne sont pas contestés en appel. Compte tenu de la garde alternée instaurée, les dépenses courantes des enfants doivent en principe être assumées par les époux à raison de la moitié chacun – étant rappelé que les allocations familiales sont intégralement versées à l'appelante. Après couverture des charges fixes des enfants pendant leurs périodes de garde respectives, l'appelante bénéficie d'un excédent de 425 fr. (800 fr. - 150 fr. [900 fr. / 2 - 300 fr.] - 225 fr. [1'050 fr. / 2 - 300 fr.]) et l'intimé d'un excédent de 640 fr. (1'640 fr. - 450 fr. - 525 fr.). Eu égard à ce qui précède et vu la modicité de l'excédent susceptible d'être réparti entre les membres de la famille, la solution du premier juge – qui a retenu qu'aucune contribution ne serait due entre les parties à compter du 1er août 2021 et que celles-ci prendraient en charge les frais fixes des enfants par moitié chacune dès le 1er janvier 2022 – paraît adéquate et sera dès lors confirmée. Dans la mesure où l'intimé a continué à assumer les charges courantes de la famille après la séparation, tout en versant régulièrement de l'argent à son épouse (laquelle a perçu l'entier des allocations familiales dès décembre 2020), c'est également à bon droit que le Tribunal n'a pas condamné l'intimé à s'acquitter de contributions d'entretien avec effet rétroactif au 1er janvier 2021. 4.4.5 En définitive, le jugement querellé sera entièrement confirmé. 5. Vu la nature familiale du litige (art. 107 al. 1 let. c CPC), les frais judiciaires d'appel seront arrêtés à 1'000 fr. (art. 31 et 37 RTFMC) et mis à la charge des parties par moitié chacune. L'appelante plaidant au bénéfice de l'assistance judiciaire, la part de ces frais qui lui incombe sera provisoirement laissée à la charge de l'Etat de Genève, qui pourra en demander le remboursement ultérieurement (art. 123 al. 1 CPC et 19 RAJ).</w:t>
      </w:r>
    </w:p>
    <w:p>
      <w:r>
        <w:t>L'intimé sera condamné à verser 500 fr. à l'Etat de Genève, soit pour lui les Services financiers du Pouvoir judiciaire. Pour les mêmes motifs d'équité liés à la nature du litige, chaque partie conservera à sa charge ses propres dépens d'appel (art. 107 al. 1 let. c CPC). * * * * *</w:t>
      </w:r>
    </w:p>
    <w:p>
      <w:r>
        <w:t>- 20/21 -</w:t>
      </w:r>
    </w:p>
    <w:p>
      <w:r>
        <w:t>C/6329/2021</w:t>
      </w:r>
    </w:p>
    <w:p>
      <w:r>
        <w:t>- 21/21 -</w:t>
      </w:r>
    </w:p>
    <w:p>
      <w:r>
        <w:t>C/6329/2021</w:t>
      </w:r>
    </w:p>
    <w:p>
      <w:r>
        <w:t>PAR CES MOTIFS, La Chambre civile :</w:t>
      </w:r>
    </w:p>
    <w:p>
      <w:r>
        <w:t>A la forme : Déclare recevable l'appel interjeté par A______ contre les chiffres 7 à 10 et 15 du dispositif du jugement JTPI/9350/2021 rendu le 8 juillet 2021 par le Tribunal de première instance dans la cause C/6329/2021-21. Au fond : Confirme les chiffres 7 à 10 et 15 du dispositif de ce jugement. Déboute les parties de toutes autres conclusions. Sur les frais : Arrête les frais judiciaires d'appel à 1'000 fr. et les met à la charge des parties par moitié chacune. Laisse provisoirement la part des frais judiciaires d'appel de A______ à la charge de l'Etat de Genève. Condamne B______ à payer le montant de 500 fr. à l'Etat de Genève, soit pour lui les Services financiers du Pouvoir judiciaire. Dit que chaque partie supporte ses propres dépens d'appel. Siégeant : Madame Nathalie RAPP, présidente; Madame Sylvie DROIN, Monsieur Jean REYMOND, juges; Madame Sandra CARRIER, greffière. 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