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ACJC/1682/2023 vom 21. Dezember 2023</w:t>
      </w:r>
    </w:p>
    <w:p>
      <w:r>
        <w:t>GE Cour de justice, 2023-12-21, FR</w:t>
      </w:r>
    </w:p>
    <w:p>
      <w:r>
        <w:rPr>
          <w:b/>
        </w:rPr>
        <w:t xml:space="preserve">Quelle: </w:t>
      </w:r>
      <w:r>
        <w:t>https://mcp.opencaselaw.ch/entscheid/ge_gerichte_ACJC_1682_2023</w:t>
      </w:r>
    </w:p>
    <w:p>
      <w:r>
        <w:t>FR: GE_GERICHTE ACJC/1682/2023 du 21 décembre 2023</w:t>
      </w:r>
    </w:p>
    <w:p>
      <w:r>
        <w:t>IT: GE_GERICHTE ACJC/1682/2023 del 21 dicembre 2023</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qui statue sur les contributions à l'entretien des enfants, seules questions litigieuses tant en première qu'en deuxième instance, soit sur une affaire patrimoniale dont la valeur litigieuse est, compte tenu des montants réclamés à ce titre, supérieure à 10'000 fr. (art. 91 al. 1, 92 et 308 al. 2 CPC).</w:t>
      </w:r>
    </w:p>
    <w:p>
      <w:r>
        <w:t>- 9/24 -</w:t>
      </w:r>
    </w:p>
    <w:p>
      <w:r>
        <w:t>C/2622/2023</w:t>
      </w:r>
    </w:p>
    <w:p>
      <w:r>
        <w:rPr>
          <w:b/>
        </w:rPr>
        <w:t>E. 1.2</w:t>
      </w:r>
    </w:p>
    <w:p>
      <w:r>
        <w:t>Sont également recevables la réponse, la réplique, la duplique ainsi que les déterminations spontanées des parties, déposées dans le délai légal (art. 314 al. 1 CPC), respectivement dans les dix jours suivant la notification de l'acte de la partie adverse, conformément au droit de réplique applicable (ATF 146 III 97 consid. 3.4.1; 142 III 48 consid. 4.1.1; arrêt du Tribunal fédéral 4A_216/2021 du</w:t>
      </w:r>
    </w:p>
    <w:p>
      <w:r>
        <w:rPr>
          <w:b/>
        </w:rPr>
        <w:t>E. 1.3</w:t>
      </w:r>
    </w:p>
    <w:p>
      <w:r>
        <w:t>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w:t>
      </w:r>
    </w:p>
    <w:p>
      <w:r>
        <w:rPr>
          <w:b/>
        </w:rPr>
        <w:t>E. 1.4</w:t>
      </w:r>
    </w:p>
    <w:p>
      <w:r>
        <w:t>La Cour revoit la cause en fait et en droit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Les mesures provisionnelles prises dans le cadre d'une action en divorce étant soumises à la procédure sommaire au sens propre (art. 248 let. d, 271 let. a et 276 al. 1 CPC), la cognition de la Cour est en outre limitée à la simple vraisemblance des faits et à un examen sommaire du droit, l'exigence de célérité étant privilégiée par rapport à celle de sécurité (ATF 127 III 414 consid. 2b/bb, JdT 2002 I 352; arrêt du Tribunal fédéral 5A_12/2013 du 8 mars 2013 consid. 2.2).</w:t>
      </w:r>
    </w:p>
    <w:p>
      <w:r>
        <w:rPr>
          <w:b/>
        </w:rPr>
        <w:t>E. 2</w:t>
      </w:r>
    </w:p>
    <w:p>
      <w:r>
        <w:t>Les parties ont allégué des faits nouveaux et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consid. 2.2; 144 III 349 consid. 4.2.1 in fine).</w:t>
      </w:r>
    </w:p>
    <w:p>
      <w:r>
        <w:t>- 10/24 -</w:t>
      </w:r>
    </w:p>
    <w:p>
      <w:r>
        <w:t>C/2622/2023</w:t>
      </w:r>
    </w:p>
    <w:p>
      <w:r>
        <w:rPr>
          <w:b/>
        </w:rPr>
        <w:t>E. 2.2</w:t>
      </w:r>
    </w:p>
    <w:p>
      <w:r>
        <w:t>En l'espèce, les pièces nouvelles déposées par les parties devant la Cour dans le cadre de leurs écritures permettent de déterminer leurs situations personnelles et financières, de sorte qu'elles sont pertinentes pour statuer sur le montant des contributions d'entretien en faveur des enfants. La maxime inquisitoire illimitée étant applicable en la matière, ces pièces sont recevables, de même que les faits auxquels elles se rapportent, et ce indépendamment du fait que les parties auraient pu les produire en première instance si elles avaient fait preuve de la diligence requise.</w:t>
      </w:r>
    </w:p>
    <w:p>
      <w:r>
        <w:rPr>
          <w:b/>
        </w:rPr>
        <w:t>E. 3</w:t>
      </w:r>
    </w:p>
    <w:p>
      <w:r>
        <w:t>Le dispositif de l'ordonnance querellée fait apparaître une erreur manifeste s'agissant de la prise en charge des deux garçons les mercredis après-midi, celle-ci étant assurée par l'intimée et non l'appelant.</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w:t>
      </w:r>
    </w:p>
    <w:p>
      <w:r>
        <w:rPr>
          <w:b/>
        </w:rPr>
        <w:t>E. 3.2</w:t>
      </w:r>
    </w:p>
    <w:p>
      <w:r>
        <w:t>En l'espèce, les parties s'accordent sur le fait que c'est l'intimée qui prend en charge les enfants les mercredis après-midi. En effet, celle-ci, travaillant à 90%, dispose du temps nécessaire pour s'occuper personnellement des enfants. Le Tribunal a relevé cet accord dans la motivation de son ordonnance mais a inversé les noms des parties dans le dispositif de sa décision, de sorte qu'il y a lieu de rectifier ce point. Par conséquent, le chiffre 5 du dispositif de l'ordonnance entreprise sera d'office réformé dans le sens qui précède.</w:t>
      </w:r>
    </w:p>
    <w:p>
      <w:r>
        <w:rPr>
          <w:b/>
        </w:rPr>
        <w:t>E. 4</w:t>
      </w:r>
    </w:p>
    <w:p>
      <w:r>
        <w:t>L'appelant critique les montants accordés par le Tribunal au titre de contributions d'entretien en faveur des enfants. Il soutient que ses revenus auraient été surestimés. Il n'y avait pas lieu de tenir compte de son activité les soirs et les week-ends auprès de la clinique J______ depuis le 1er janvier 2021, ce d'autant plus que, depuis la séparation, il prenait en charge les deux enfants cadets un week-end sur deux. L'Administration fiscale avait limité ses revenus pour que le prélèvement des bénéfices nets de la société n'entame pas la substance de H______ SARL, de sorte que ces derniers ne devaient pas être pris en compte. L'appelant avait en revanche bénéficié d'un prêt de la part de sa société de 47'867 fr. en 2019 et de 75'443 fr. supplémentaires en 2020 pour pouvoir payer ses propres salaires, montants dont il fallait tenir compte. S'agissant des rétrocessions de L______, celles-ci étaient directement versées à H______ SARL depuis le 13 novembre 2022, de sorte qu'elles ne devaient pas être ajoutées à ses</w:t>
      </w:r>
    </w:p>
    <w:p>
      <w:r>
        <w:t>- 11/24 -</w:t>
      </w:r>
    </w:p>
    <w:p>
      <w:r>
        <w:t>C/2622/2023 revenus, étant souligné que pour cette année-là, elles se seraient élevées à 8'900 fr. et non à 9'740 fr. L'appelant reproche également au Tribunal d'avoir sous-estimé ses charges, en particulier les redevances SERAFE, ses frais médicaux et ses primes d'assurance maladie. Il fait en outre grief au Tribunal d'avoir omis de déduire des contributions d'entretien fixées, la part d'excédent provenant des revenus de l'intimée et, en tout état, d'avoir attribué une part excessive d'excédent aux enfants. Il reproche encore au premier juge de ne pas avoir fixé des paliers aux contributions d'entretien des enfants étant donné que C______ deviendra majeure avant qu'un jugement de divorce définitif et exécutoire ne puisse être prononcé. Enfin, compte tenu du fait qu'il avait continué à contribuer à l'entretien des enfants depuis la séparation, c'était à tort que le Tribunal avait accordé un effet rétroactif aux contributions d'entretien fixées en leur faveur.</w:t>
      </w:r>
    </w:p>
    <w:p>
      <w:r>
        <w:rPr>
          <w:b/>
        </w:rPr>
        <w:t>E. 4.1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rPr>
          <w:b/>
        </w:rPr>
        <w:t>E. 4.1.1</w:t>
      </w:r>
    </w:p>
    <w:p>
      <w:r>
        <w:t>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(arrêts du Tribunal fédéral 5A_330/2022 du 27 mars 2023 consid. 4.1.1; 5A_743/2017 du 22 mai 2019 consid. 5.2.3).</w:t>
      </w:r>
    </w:p>
    <w:p>
      <w:r>
        <w:rPr>
          <w:b/>
        </w:rPr>
        <w:t>E. 4.1.2</w:t>
      </w:r>
    </w:p>
    <w:p>
      <w:r>
        <w:t>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w:t>
      </w:r>
    </w:p>
    <w:p>
      <w:r>
        <w:t>- 12/24 -</w:t>
      </w:r>
    </w:p>
    <w:p>
      <w:r>
        <w:t>C/2622/2023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7.2 et 7.3).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La fixation de la contribution d'entretien relève de l'appréciation du juge, qui jouit d'un large pouvoir d'appréciation et applique les règles du droit et de l'équité (art. 4 CC; ATF 140 III 337 consid. 4.2.2; 134 III 577 consid. 4; 128 III 411 consid. 3.2.2).</w:t>
      </w:r>
    </w:p>
    <w:p>
      <w:r>
        <w:t>- 13/24 -</w:t>
      </w:r>
    </w:p>
    <w:p>
      <w:r>
        <w:t>C/2622/2023</w:t>
      </w:r>
    </w:p>
    <w:p>
      <w:r>
        <w:rPr>
          <w:b/>
        </w:rPr>
        <w:t>E. 4.1.3</w:t>
      </w:r>
    </w:p>
    <w:p>
      <w:r>
        <w:t>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5A_1048/2021 du 11 octobre 2022 consid. 4.2; 5A_987/2020 du 24 février 2022 consid. 4.1).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(arrêts du Tribunal fédéral 5A_1048/2021 du 11 octobre 2022 consid. 4.2; 5A_987/2020 du 24 février 2022 consid. 4.1).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5A_1048/2021 du 11 octobre 2022 consid. 4.2; 5A_987/2020 du 24 février 2022 consid. 4.1). Lorsque le débirentier diminue son revenu de manière "malveillante", soit qu'il le diminue volontairement alors qu'il savait, ou devait savoir, qu'il lui incombait d'assumer des obligations d'entretien, il n'est pas arbitraire de lui imputer le revenu qu'il gagnait précédemment, ce avec effet rétroactif au jour de la diminution (ATF 143 III 233 consid. 3 traduit à la SJ 2018 I 89; arrêt du Tribunal fédéral 5A_553/2020 du 16 février 2021 consid. 5.2.1). En règle générale, on ne saurait attendre du conjoint débirentier qu'il travaille à plus de 100%. Des dérogations à ce principe sont admises, si la possibilité d'exercer une activité accessoire existe réellement et qu'une telle activité peut être raisonnablement exigée de la part de la personne précitée (ACJC/145/2021 du 2 février 2021 consid. 3.1.2; FamPra.ch 2008 p. 373 consid. 3.2.1).</w:t>
      </w:r>
    </w:p>
    <w:p>
      <w:r>
        <w:t>- 14/24 -</w:t>
      </w:r>
    </w:p>
    <w:p>
      <w:r>
        <w:t>C/2622/2023</w:t>
      </w:r>
    </w:p>
    <w:p>
      <w:r>
        <w:rPr>
          <w:b/>
        </w:rPr>
        <w:t>E. 4.1.4</w:t>
      </w:r>
    </w:p>
    <w:p>
      <w:r>
        <w:t>Les besoins des parties sont calculés en partant du minimum vital au sens du droit des poursuites (art. 93 LP). Celui-ci comprend le montant de base fixé par les normes d'insaisissabilité (NI 2023,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LEUBA/MEIER/PAPAUX VAN DELDEN, Droit du divorce, 2021, p. 310 à 314). Le loyer imputé à l'époux attributaire doit être diminué dans la mesure de la part attribuée aux enfants. Dès trois enfants, la part relative aux enfants s'élève à 40% (arrêt du Tribunal fédéral 5A_1068/2021 du 30 août 2022 consid. 3.2.2; cf. BURGAT, Entretien de l'enfant, des précisions bienvenues : une méthode (presque) complète et obligatoire pour toute la Suisse; analyse de l'arrêt du Tribunal fédéral 5A_311/2019, Newsletter DroitMatrimonial.ch janvier 2021, p. 15).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correspondant à la part des contributions d'entretien dans le revenu du parent auquel elles sont versées (JUNGO/ARNDT, Barunterhalt der Kinder, FamPra.ch 2019, p. 758 n. 38),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w:t>
      </w:r>
    </w:p>
    <w:p>
      <w:r>
        <w:rPr>
          <w:b/>
        </w:rPr>
        <w:t>E. 4.1.5</w:t>
      </w:r>
    </w:p>
    <w:p>
      <w:r>
        <w:t>Lorsque les parents sont mariés, l'excédent à prendre en considération est celui de l'entier de la famille, à savoir l'excédent cumulé des deux parents (ATF 147 III 265 consid. 8.3; arrêt du Tribunal fédéral 5A_597/2022 du</w:t>
      </w:r>
    </w:p>
    <w:p>
      <w:r>
        <w:rPr>
          <w:b/>
        </w:rPr>
        <w:t>E. 4.1.6</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in SJ 2011 I 221).</w:t>
      </w:r>
    </w:p>
    <w:p>
      <w:r>
        <w:rPr>
          <w:b/>
        </w:rPr>
        <w:t>E. 4.1.7</w:t>
      </w:r>
    </w:p>
    <w:p>
      <w:r>
        <w:t>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La durée de cette prise en charge est ordinairement de cinq ans, correspondant à l'achèvement usuel de la formation, ce qui doit permettre de tenir compte de brèves interruptions sur une durée totale de quatre ans de suivi ininterrompu d'études finalement couronnées de succès. Il est généralement admis que l'enfant, à sa majorité, peut avoir un battement de deux ou trois ans au plus, susceptible de le déterminer sur ses choix professionnels et son avenir (PIOTET / GAURON- CARLIN, Commentaire romand, Code civil I, 2ème éd. 2023, n. 10 et 11 ad art. 277 CC).</w:t>
      </w:r>
    </w:p>
    <w:p>
      <w:r>
        <w:rPr>
          <w:b/>
        </w:rPr>
        <w:t>E. 4.1.8</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w:t>
      </w:r>
    </w:p>
    <w:p>
      <w:r>
        <w:t>- 16/24 -</w:t>
      </w:r>
    </w:p>
    <w:p>
      <w:r>
        <w:t>C/2622/2023 al. 1 CPC; ATF 115 II 201 consid. 4.1; arrêt du Tribunal fédéral 5A_251/2016 du 15 août 2016 consid. 2.1.3). L'effet rétroactif ne se justifie que si l'entretien dû n'a pas été assumé en nature ou en espèces ou dès qu'il a cessé de l'être (arrêts du Tribunal fédéral 5A_372/2015 du 29 septembre 2015 consid. 3.1 et 5A_591/2011 du 7 décembre 2011 consid. 5.2).</w:t>
      </w:r>
    </w:p>
    <w:p>
      <w:r>
        <w:rPr>
          <w:b/>
        </w:rPr>
        <w:t>E. 4.2</w:t>
      </w:r>
    </w:p>
    <w:p>
      <w:r>
        <w:t>En l'espèce, il y a lieu de réexaminer la situation des parties à la lumière des griefs soulevés et de la jurisprudence précitée.</w:t>
      </w:r>
    </w:p>
    <w:p>
      <w:r>
        <w:rPr>
          <w:b/>
        </w:rPr>
        <w:t>E. 4.2.1</w:t>
      </w:r>
    </w:p>
    <w:p>
      <w:r>
        <w:t>S'agissant des revenus de l'appelant, contrairement à ce que ce dernier prétend, il y a lieu de tenir compte de ses revenus provenant de ses activités auprès des différents établissements hospitaliers. En effet, d'une part, ces revenus ont été effectifs durant la vie commune et jusqu'en décembre 2020, alors qu'il exerçait à cette époque un droit de visite d'un week-end sur deux, et ce nonobstant le fait que cela impliquait un taux d'activité supérieur à un temps plein. D'autre part, l'appelant a cessé cette activité complémentaire, unilatéralement, après la séparation des parties, alors qu'il était conscient de son obligation d'entretien vis- à-vis des enfants. Compte tenu de ces éléments, il se justifie, à l'instar de ce qu'a retenu le Tribunal, d'en tenir compte dans la moyenne des revenus de l'appelant. Il en va de même des bénéfices nets de la société de l'appelant. En effet, il y a tout d'abord lieu de relever que les considérations fiscales ne sont pas pertinentes pour la détermination des revenus de l'appelant. Les comptes, bilans et annexes révisés de la société ont été produits et font état des bénéfices nets annuels, soit ceux après impôts. A cela s'ajoute qu'il n'est rendu vraisemblable ni que les impôts de la société auraient augmenté par rapport à ceux qui avaient été indiqués dans les comptes et bilans de la société ni le montant que cela représenterait. En outre, dans la mesure où il est le seul associé de sa société, l'appelant est également le seul à décider du montant de son revenu ainsi que de la distribution ou non du bénéfice, étant précisé que, depuis la création de la société, celle-ci ne fait qu'engendrer des bénéfices, lesquels ont, en partie, été reportés d'une année à l'autre et, en partie, été destinés à l'augmentation de la réserve légale. Autrement dit, la société n'a fait que thésauriser au lieu de réinvestir ou de distribuer ses bénéfices. Ces derniers constituent ainsi des avoirs supplémentaires que l'appelant pourrait utiliser pour l'entretien des siens, puisqu'aucun motif ne l'oblige à les garder dans la société. Cela d'autant plus que l'appelant a créé sa société l'année de la séparation des parties et que ses revenus ont diminué depuis lors. Il est ainsi rendu vraisemblable que l'intention de l'appelant était de réduire volontairement ses revenus pour justifier une diminution des contributions d'entretien, ce qui n'est pas admissible. C'est dès lors à juste titre que le Tribunal a pris en compte, en sus du salaire de l'appelant, les bénéfices nets de sa société H______ SARL.</w:t>
      </w:r>
    </w:p>
    <w:p>
      <w:r>
        <w:t>- 17/24 -</w:t>
      </w:r>
    </w:p>
    <w:p>
      <w:r>
        <w:t>C/2622/2023 Le prêt de 47'867 fr. accordé par la société dès sa constitution en 2019 en faveur de l'appelant et augmenté de 75'443 fr. supplémentaires en 2020, constitue un autre élément qui démontre que l'appelant est libre dans les décisions qu'il prend dans la gestion de sa société et de l'usage des actifs de celle-ci. Etant donné que les salaires de l'appelant sont pris en compte dans ses revenus, les prêts accordés par la société dans le but de payer lesdits salaires ne peuvent pas être ajoutés à ceux-ci, sauf à être comptabilisés à double. En ce qui concerne les rétrocessions de L______, c'est à tort que l'appelant soutient qu'il n'y aurait pas lieu d'en tenir compte dans la moyenne de ses revenus. Ces montants lui ont effectivement été versés avant qu'ils ne le soient directement à H______ SARL. Ils font ainsi partie de ses revenus sur les trois dernières années. C'est également à tort que l'appelant chiffre ces rétrocessions en 2022 à 8'900 fr., le montant retenu par le Tribunal de 9'740 fr. ressortant de l'addition des crédits inscrits dans les relevés bancaires de l'appelant pour cette année-là. Les revenus de l'appelant, arrêtés à 25'650 fr. nets par mois par le Tribunal, seront dès lors confirmés.</w:t>
      </w:r>
    </w:p>
    <w:p>
      <w:r>
        <w:rPr>
          <w:b/>
        </w:rPr>
        <w:t>E. 4.2.2</w:t>
      </w:r>
    </w:p>
    <w:p>
      <w:r>
        <w:t>Les revenus mensuels nets de l'intimée, arrêtés à 13'115 fr. et n'étant pas contestés, seront également confirmés.</w:t>
      </w:r>
    </w:p>
    <w:p>
      <w:r>
        <w:rPr>
          <w:b/>
        </w:rPr>
        <w:t>E. 4.2.3</w:t>
      </w:r>
    </w:p>
    <w:p>
      <w:r>
        <w:t>S'agissant des charges de l'appelant, ses primes d'assurance maladie LAMal et LCA seront mises à jour pour correspondre aux montants effectivement dus en 2022, à savoir 443 fr. 75 respectivement 123 fr. 95 par mois. Il sera également tenu compte des frais médicaux non remboursés et des redevances SERAFE qui ont été rendus vraisemblables à hauteur de 37 fr. 55, respectivement 27 fr. 30 par mois. Une part de 30% du loyer de l'appelant doit être soustraite de ses charges pour être intégrée dans les charges des deux garçons puisque l'appelant exerce une garde alternée sur ceux-ci. La part de loyer de l'appelant à retenir s'élève ainsi à 3'156 fr. par mois (70% de 4'508 fr.). Par conséquent, les charges mensuelles de l'appelant seront arrêtées, en chiffres arrondis, à 10'863 fr. et comprennent encore 1'350 fr. de montant de base OP, 200 fr. de frais de parking, 43 fr. 40 de prime d'assurance RC, 64 fr. 40 de prime d'assurance vie et 5'417 fr. d'impôts.</w:t>
      </w:r>
    </w:p>
    <w:p>
      <w:r>
        <w:rPr>
          <w:b/>
        </w:rPr>
        <w:t>E. 4.2.4</w:t>
      </w:r>
    </w:p>
    <w:p>
      <w:r>
        <w:t>S'agissant des charges de l'intimée, c'est à tort que le Tribunal n'a pas soustrait du loyer de l'intimée également une part relative aux enfants D______ et E______. En effet, bien qu'une garde alternée soit mise en place, les deux garçons occupent également une partie du logement de leur mère, de sorte que les frais de logement de l'intimée seront arrêtés à 60% de leurs montants, à savoir 1'848 fr.</w:t>
      </w:r>
    </w:p>
    <w:p>
      <w:r>
        <w:t>- 18/24 -</w:t>
      </w:r>
    </w:p>
    <w:p>
      <w:r>
        <w:t>C/2622/2023 pour le loyer (60% de 3'080 fr.), 240 fr. de frais d'entretien (60% de 400 fr.) et 80 fr. 90 de prime d'assurance bâtiment (60% de 134 fr. 80). La charge fiscale de l'intimée doit également être répartie entre elle-même et les trois enfants mineurs. A teneur de la calculette mise en ligne par l'Administration fiscale cantonale, la charge fiscale totale de l'intimée représente un montant de 3'336 fr. par mois en tenant compte des contributions d'entretien en faveur des enfants ainsi que des revenus et de la fortune de l'intimée. La part de son revenu imposable provenant de son activité lucrative représente 65,11%. En appliquant ce taux au montant total des impôts, cela correspond à 2'172 fr. par mois (65,11% de 3'336 fr.), montant qui sera retenu à ce titre. Pour le surplus, les charges mensuelles de l'intimée, composées de sa prime d'assurance maladie LAMal de 529 fr., de sa prime d'assurance maladie LCA de 177 fr. 60, de ses frais médicaux non remboursés de 83 fr. 40, de ses primes d'assurance RC et objets de valeurs de 91 fr. 10, de ses frais de transport de 55 fr. 40, de ses frais de communication et Internet de 159 fr. 50, de la redevance SERAFE de 28 fr. et de son montant de base OP de 1'350 fr., ne sont pas contestées, de sorte qu'elles ne seront pas réexaminées. Ainsi, les charges mensuelles de l'intimée seront arrêtées, en chiffres arrondis, à 6'815 fr. par mois.</w:t>
      </w:r>
    </w:p>
    <w:p>
      <w:r>
        <w:rPr>
          <w:b/>
        </w:rPr>
        <w:t>E. 4.2.5</w:t>
      </w:r>
    </w:p>
    <w:p>
      <w:r>
        <w:t>Concernant les coûts directs de C______, il y a lieu de recalculer sa participation aux frais de logement de sa mère. Ceux-ci devant correspondre à 10% par enfant (y compris G______), la part de loyer de C______ représente 308 fr. par mois (10% de 3'080 fr.), sa part aux frais d'entretien représente 40 fr. par mois (10% de 400 fr.) et sa part à la prime d'assurance bâtiment correspond à 13 fr. 50 par mois (10% de 134 fr. 80). Il y a également lieu d'intégrer une part d'impôts. Sa contribution d'entretien, y compris les allocations familiales, représente 18,25% du revenu imposable de sa mère. Ainsi, sa part aux impôts correspond à 608 fr. 85 par mois (18,25% de 3'336 fr.; cf. consid. 3.2.4 supra). Il ne se justifie pas d'intégrer les frais d'abonnement fitness allégués par sa mère. En effet, ceux-ci étant consécutifs à une opération de l'épaule, il n'est pas rendu vraisemblable qu'ils n'ont pas été pris en charge par une assurance (maladie ou accident). Et même si cela n'était pas le cas, ils sont couverts par la part à l'excédent de la famille. Pour le surplus, les charges mensuelles de C______, composées de ses primes d'assurance maladie LAMal et LCA de 104 fr. 50 respectivement 75 fr. 15, de ses frais médicaux non remboursés de 31 fr. 60, de son abonnement de téléphone de</w:t>
      </w:r>
    </w:p>
    <w:p>
      <w:r>
        <w:t>- 19/24 -</w:t>
      </w:r>
    </w:p>
    <w:p>
      <w:r>
        <w:t>C/2622/2023 60 fr., de ses frais de transport de 34 fr. et de son montant de base OP de 600 fr., ne sont pas contestées et seront confirmées. Ainsi, les coûts directs de C______, seront arrêtés, en chiffres arrondis, à 1'461 fr. par mois, après déductions des allocations familiales.</w:t>
      </w:r>
    </w:p>
    <w:p>
      <w:r>
        <w:rPr>
          <w:b/>
        </w:rPr>
        <w:t>E. 4.2.6</w:t>
      </w:r>
    </w:p>
    <w:p>
      <w:r>
        <w:t>Concernant D______ et E______, comme relevé plus haut (cf. consid. 3.2.4 supra), c'est à tort que le Tribunal n'a retenu aucune charge de logement pour les deux enfants. Celle-ci sera arrêtée, à l'instar de celle de C______ (cf. consid. 3.2.5 supra), pour chacun des enfants D______ et E______, à 308 fr. par mois pour la part de loyer chez leur mère, à 40 fr. par mois pour la part aux frais d'entretien et à 13 fr. 50 par mois pour la part à la prime d'assurance bâtiment. Il y a également lieu de prendre en compte une participation au loyer de leur père (cf. consid. 3.2.3 supra) correspondant à 676 fr. par mois et par enfant (15% de 4'508 fr.). A cela s'ajoute encore la part d'impôts dont devra s'acquitter leur mère sur les contributions d'entretien qu'elle percevra. La contribution d'entretien de D______, allocations familiales comprises, représente 8,21%, du revenu imposable de l'intimée, et celle de E______ 8,43%, de sorte que la part aux impôts de D______ équivaut à 273 fr. 80 par mois (8,21 % de 3'336 fr.) et celle de E______ à 281 fr. 30 par mois (8,43% de 3'336 fr.; cf. consid. 3.2.4 supra). Pour le surplus, leurs charges mensuelles, qui se composent, pour D______, de ses primes d'assurance maladie LAMal et LCA de 104 fr. 50 respectivement 75 fr. 15, de ses frais médicaux non remboursés de 12 fr., de son abonnement de téléphone de 15 fr., de ses frais de transport de 34 fr. et de son montant de base OP de 600 fr., et pour E______, de ses primes d'assurance maladie LAMal et LCA de 104 fr. 50 respectivement 76 fr. 15, de ses frais médicaux non remboursés de 55 fr., de son abonnement de téléphone de 15 fr., de ses frais de transport de 34 fr. et de son montant de base OP de 600 fr., ne sont pas contestées et seront confirmées. Les coûts directs de D______ seront arrêtés, en chiffres arrondis, à 1'741 fr. et ceux de E______ à 1'793 fr., après déduction des allocations familiales.</w:t>
      </w:r>
    </w:p>
    <w:p>
      <w:r>
        <w:rPr>
          <w:b/>
        </w:rPr>
        <w:t>E. 4.2.7</w:t>
      </w:r>
    </w:p>
    <w:p>
      <w:r>
        <w:t>S'agissant des charges mensuelles de G______, il y a lieu de les modifier également en ce qui concerne sa part au frais de logement de sa mère (cf. consid. 3.2.4 supra), de sorte que ses charges s'élèvent au total, en chiffres arrondis, à 1'143 fr. et se composent, outre les frais de logement, de ses primes d'assurance maladie LAMal et LCA de 406 fr. 20 respectivement 118 fr. 40, de ses frais médicaux non remboursés de 21 fr. 50, de son abonnement de téléphone de 50 fr. et de son montant de base OP de 600 fr., le tout sous déduction des allocations familiales de 415 fr. par mois.</w:t>
      </w:r>
    </w:p>
    <w:p>
      <w:r>
        <w:t>- 20/24 -</w:t>
      </w:r>
    </w:p>
    <w:p>
      <w:r>
        <w:t>C/2622/2023</w:t>
      </w:r>
    </w:p>
    <w:p>
      <w:r>
        <w:rPr>
          <w:b/>
        </w:rPr>
        <w:t>E. 4.2.8</w:t>
      </w:r>
    </w:p>
    <w:p>
      <w:r>
        <w:t>Il n'est pas contesté qu'aucune contribution de prise en charge ne doit être incluse dans l'entretien convenable des enfants.</w:t>
      </w:r>
    </w:p>
    <w:p>
      <w:r>
        <w:rPr>
          <w:b/>
        </w:rPr>
        <w:t>E. 4.2.9</w:t>
      </w:r>
    </w:p>
    <w:p>
      <w:r>
        <w:t>S'agissant de la question de savoir quel époux doit prendre en charge l'entretien financier des enfants, pour ce qui concerne C______, c'est à juste titre que le Tribunal a retenu que ses coûts directs doivent être entièrement mis à la charge de l'appelant, puisque celui-ci n'en a pas la garde. Pour ce qui concerne G______, les parties ne contestent pas que c'est l'intimée qui prend en charge ses frais. En revanche, pour déterminer la répartition des coûts directs des deux garçons entre les parties, il y a lieu de se fonder uniquement sur leurs capacités financières respectives. Après paiement des charges des époux ainsi que des charges des deux filles aînées, ceux-ci bénéficient chacun d'un solde disponible, à savoir de 13'380 fr. concernant l'appelant (25'650 fr. de revenus – 10'863 fr. de charges – 1'461 fr. de coûts directs de C______) et 5'157 fr. concernant l'intimée (13'115 fr. de revenus – 6'815 fr. de charges – 1'143 fr. de coûts directs de G______). La part de l'appelant représente 72% et celle de l'intimée 28%. Le fait que l'intimée assume une prise en charge des deux garçons légèrement supérieure à celle de l'appelant n'entre pas en considération, seule la capacité financière des époux étant déterminante. Ainsi, contrairement à ce qu'a retenu le Tribunal, il ne se justifie pas d'imputer l'intégralité de l'entretien des garçons à l'appelant puisque l'intimée doit assumer 28% des charges des enfants et l'appelant les 72% restant. S'agissant de D______, la part de ses coûts à charge de son père s'élève à 1'218 fr. 70 par mois (72% de 1'741 fr.) et celle à charge de sa mère à 522 fr. 30 par mois (28% de 1'741 fr.). En ce qui concerne E______, la part de ses coûts à charge de son père s'élève à 1'255 fr. 10 par mois (72% de 1'793 fr.) et celle à charge de sa mère à 537 fr. 90 par mois (28% de 1'793 fr.). Or, la mère, en exerçant la garde alternée assume la moitié du montant de base OP des deux garçons ainsi que la part des frais de logement, de sorte qu'elle participe financièrement dans une plus grande proportion que ce qu'elle devrait, soit à hauteur de 139 fr. 20 par mois pour D______ (522 fr. 30 – 300 fr. – 308 fr. – 40 fr. – 13 fr. 50) et 123 fr. 60 par mois pour E______ (537 fr. 90 – 300 fr. – 308 fr. – 40 fr. – 13 fr. 50). Ces montants doivent être remboursés à l'intimée par l'appelant par le versement d'une contribution d'entretien. En conséquence, la part de l'appelant aux coûts directs des enfants, déduction faite de la moitié du montant de base OP qu'il assume lui-même, de la part des enfants à son propre loyer et après prise en compte de la part des coûts directs excédentaires assumés par l'intimée, s'élève à 381 fr. 90 pour D______</w:t>
      </w:r>
    </w:p>
    <w:p>
      <w:r>
        <w:t>- 21/24 -</w:t>
      </w:r>
    </w:p>
    <w:p>
      <w:r>
        <w:t>C/2622/2023 (1'218 fr. 70 – 300 fr. – 676 fr. + 139 fr. 20) et 402 fr. 70 pour E______ (1'255 fr. 10 – 300 fr. – 676 fr. + 123 fr. 60).</w:t>
      </w:r>
    </w:p>
    <w:p>
      <w:r>
        <w:rPr>
          <w:b/>
        </w:rPr>
        <w:t>E. 4.2.10</w:t>
      </w:r>
    </w:p>
    <w:p>
      <w:r>
        <w:t>S'agissant de l'excédent familial à partager et à intégrer dans l'entretien convenable des enfants, il y a tout d'abord lieu de relever que la suppression des allocations familiales de G______ et donc l'augmentation des coûts directs de celles-ci à charge de l'intimée n'a qu'un effet minime sur la situation financière de la famille, de sorte qu'il n'en sera pas tenu compte. Cela d'autant plus qu'il ne s'agit que d'une situation temporaire d'une année et que l'intimée n'a pas formé appel. L'excédent familial s'élève dès lors au total à 14'949 fr. par mois (25'650 fr. + 13'115 fr. – 10'863 fr. – 6'815 fr. – 1'461 fr. – 1'741 fr. – 1'793 fr. – 1'143 fr.), aucune part d'épargne n'ayant été rendue vraisemblable. Contrairement à ce que prétend l'appelant, il y a lieu de tenir compte également de l'excédent de l'intimée pour déterminer la part des enfants à l'excédent familial. Selon la méthode arrêtée par le Tribunal fédéral, il y a lieu d'attribuer un septième du solde disponible total à chaque enfant. Or, ceci représente 2'136 fr. par mois et par enfant. En théorie, C______ aurait dès lors droit à une contribution d'entretien de 3'597 fr. par mois (1'461 fr. de coûts directs + 2'136 fr. de part à l'excédent), D______ à 1'449 fr. par mois (381 fr. 90 + [50% de 2'136 fr.]) et E______ à 1'470 fr. par mois (402 fr. 70 + [50% de 2'136 fr.]), soit des montants plus élevés que ceux retenus par le premier juge. Dans un but éducatif et afin que les enfants ne bénéficient pas d'un train de vie supérieur à celui dont ils bénéficiaient avant la séparation, l'excédent sera réduit dans la mesure des contributions d'entretien fixées par le Tribunal, soit à 1'784 fr. pour C______ (3'245 fr. – 1'461 fr.), 852 fr. 10 pour D______ (1'235 fr. – 381 fr. 90) et 877 fr. 30 pour E______ (1'280 fr. – 402 fr. 70), ces montants étant suffisants pour couvrir les frais de loisirs, de vacances et d'argent de poche allégués par l'intimée. En conséquence de ce qui précède, les contributions d'entretien fixées par le premier juge en faveur de C______, D______ et E______ seront confirmées, sous réserve encore de la question du dies a quo qui sera examinée plus bas (cf. consid. 3.2.11 infra). L'intimée sera dans ces circonstances en mesure d'assumer au moyen des contributions d'entretien fixées en faveur des enfants le paiement des primes d'assurance maladie LAMal et LCA des enfants, des frais médicaux non remboursés, des frais de transport et des abonnements de téléphone des enfants, étant rappelé que le domicile légal des garçons a été fixé auprès d'elle (cf. chiffre 6 du dispositif de l'ordonnance querellée) et que les allocations familiales lui ont été également attribuées (cf. chiffre 10 du dispositif précité).</w:t>
      </w:r>
    </w:p>
    <w:p>
      <w:r>
        <w:t>- 22/24 -</w:t>
      </w:r>
    </w:p>
    <w:p>
      <w:r>
        <w:t>C/2622/2023 Enfin, le fait que C______ deviendra majeure le ______ 2024 ne justifie pas de ne pas lui allouer de part à l'excédent au-delà de cette date et donc de fixer des paliers aux contributions d'entretien comme le requiert l'appelant. En effet, il est notoire que les charges de C______ vont augmenter une fois majeure, en particulier ses primes d'assurance maladie, de sorte qu'une part de l'excédent précité sera utilisée pour couvrir l'augmentation de ses coûts directs. Par ailleurs, l'inégalité de traitement entre C______ et sa sœur, déjà majeure, se justifie par le fait que la première est, actuellement, représentée par sa mère alors que la seconde, majeure, ne l'est pas et n'est pas partie à la présente procédure. Il appartiendra, cas échéant, à G______ de réclamer à son père une contribution à son entretien si elle s'y estime fondée.</w:t>
      </w:r>
    </w:p>
    <w:p>
      <w:r>
        <w:rPr>
          <w:b/>
        </w:rPr>
        <w:t>E. 4.2.11</w:t>
      </w:r>
    </w:p>
    <w:p>
      <w:r>
        <w:t>S'agissant du dies a quo, les contributions d'entretien totalisent 5'760 fr. par mois. Or, il apparaît que depuis le 1er janvier 2023, l'appelant ne verse plus que 4'000 fr. par mois à l'intimée pour l'entretien des enfants ce qui est insuffisant. C'est par conséquent à juste titre que le Tribunal a ordonné l'effet rétroactif aux contributions d'entretien à cette date, sous déduction des montants déjà versés.</w:t>
      </w:r>
    </w:p>
    <w:p>
      <w:r>
        <w:rPr>
          <w:b/>
        </w:rPr>
        <w:t>E. 4.3</w:t>
      </w:r>
    </w:p>
    <w:p>
      <w:r>
        <w:t>A la lumière des éléments qui précèdent, les chiffres 7 à 9 du dispositif de l'ordonnance querellée seront confirmés. 5. 5.1 Les frais judiciaires d'appel seront arrêtés à 1'000 fr. (art. 5, 31 et 37 RTFMC), mis à la charge de l'appelant qui succombe (art. 106 al. 1 CPC) et compensés avec l'avance de frais qu'il a fournie et qui demeure acquise à l'Etat de Genève (art. 111 al. 1 CPC). 5.2 L'appelant sera en outre condamné à verser à l'intimée 1'500 fr. à titre de dépens d'appel (art. 25 et 26 LaCC; art. 84, 85, 88 et 90 RTFMC; art. 106 al. 1 et 111 al. 2 CPC). * * * * *</w:t>
      </w:r>
    </w:p>
    <w:p>
      <w:r>
        <w:t>- 23/24 -</w:t>
      </w:r>
    </w:p>
    <w:p>
      <w:r>
        <w:t>C/2622/2023 PAR CES MOTIFS, La Chambre civile : A la forme : Déclare recevable l'appel interjeté le 20 juillet 2023 par A______ contre l'ordonnance OTPI/438/2023 rendue le 5 juillet 2023 par le Tribunal de première instance dans la cause C/2622/2023. Au fond : Annule le chiffre 5 du dispositif de l'ordonnance attaquée et, statuant à nouveau sur ce point : Instaure une garde alternée sur les enfants D______ et E______ qui s'exercera, sauf accord contraire des parties, une semaine sur deux du dimanche soir au dimanche soir, en alternance chez chacun des parents, ainsi que tous les mercredis après-midi chez B______. Confirme l'ordonnance entreprise pour le surplus. Déboute les parties de toute autre conclusion. Sur les frais d'appel : Arrête les frais judiciaires d'appel à 1'000 fr., les met à la charge de A______ et les compense avec l'avance de frais de même montant qu'il a versée et qui reste acquise à l'Etat de Genève. Condamne A______ à verser 1'500 fr. à B______ à titre de dépens d'appel. Siégeant : Monsieur Ivo BUETTI, président; Madame Sylvie DROIN, Monsieur Jean REYMOND, juges; Madame Camille LESTEVEN, greffière.</w:t>
      </w:r>
    </w:p>
    <w:p>
      <w:r>
        <w:t>- 24/24 -</w:t>
      </w:r>
    </w:p>
    <w:p>
      <w:r>
        <w:t>C/2622/2023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mars 2021 consid. 6.2). Cette répartition se fait généralement par "grandes et petites têtes", en ce sens que chacun des parents reçoit le double de chacun des enfants; cette règle n'est cependant pas absolue et peut être relativisée selon les</w:t>
      </w:r>
    </w:p>
    <w:p>
      <w:r>
        <w:t>- 15/24 -</w:t>
      </w:r>
    </w:p>
    <w:p>
      <w:r>
        <w:t>C/2622/2023 circonstances du cas particulier (ATF 147 III 265 consid. 7.3, arrêt du Tribunal fédéral 5A_597/2022 du 7 mars 2021 consid. 6.2). La part de l'excédent en faveur des enfants est ensuite partagée par moitié entre chacun de leurs parents qui assument leur garde alternée (arrêt du Tribunal fédéral 5A_330/2022 du 27 mars 2023 consid. 4.1.2 et 4.2.4).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