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ACJC/1674/2016 vom 15. April 2016</w:t>
      </w:r>
    </w:p>
    <w:p>
      <w:r>
        <w:t>GE Cour de justice, 2016-04-15, FR</w:t>
      </w:r>
    </w:p>
    <w:p>
      <w:r>
        <w:rPr>
          <w:b/>
        </w:rPr>
        <w:t xml:space="preserve">Quelle: </w:t>
      </w:r>
      <w:r>
        <w:t>https://mcp.opencaselaw.ch/entscheid/ge_gerichte_ACJC_1674_2016</w:t>
      </w:r>
    </w:p>
    <w:p>
      <w:r>
        <w:t>FR: GE_GERICHTE ACJC/1674/2016 du 15 avril 2016</w:t>
      </w:r>
    </w:p>
    <w:p>
      <w:r>
        <w:t>IT: GE_GERICHTE ACJC/1674/2016 del 15 aprile 2016</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des enfants mineurs,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w:t>
      </w:r>
    </w:p>
    <w:p>
      <w:r>
        <w:t>- 5/9 -</w:t>
      </w:r>
    </w:p>
    <w:p>
      <w:r>
        <w:t>C/9228/2015 Dans la mesure où le litige concerne des enfants mineurs, les maximes d'office et inquisitoire illimitée sont applicables (art. 296 al. 1 et 3 CPC).</w:t>
      </w:r>
    </w:p>
    <w:p>
      <w:r>
        <w:rPr>
          <w:b/>
        </w:rPr>
        <w:t>E. 2</w:t>
      </w:r>
    </w:p>
    <w:p>
      <w:r>
        <w:t>L'intimé a produit trois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l'intimé devant la Cour sont ainsi recevables, dans la mesure où elles sont destinées à établir sa situation financière, laquelle influe sur la contribution d'entretien à payer pour l'entretien des enfants.</w:t>
      </w:r>
    </w:p>
    <w:p>
      <w:r>
        <w:rPr>
          <w:b/>
        </w:rPr>
        <w:t>E. 3</w:t>
      </w:r>
    </w:p>
    <w:p>
      <w:r>
        <w:t>Le Tribunal a retenu que, compte tenu des capacités contributives respectives des parties, soit 7'500 fr. pour l'intimé et 3'800 fr. pour l'appelante, les frais des enfants devaient être mis à raison de 2/3 à charge de l'intimé et du solde à charge de l'appelante, soit une contribution de 900 fr. par mois et par enfant à payer par l'intimé. Les montants proposés par ce dernier étant plus élevés, ils pouvaient être entérinés, étant précisé que cette augmentation permettait de tenir compte de l'effort accompli par l'appelante par le biais des soins et de l'éducation prodigués aux enfants. Il n'y avait pas lieu d'indexer les contributions, eu égard à la quasi- absence d'inflation durant la dernière décennie.</w:t>
      </w:r>
    </w:p>
    <w:p>
      <w:r>
        <w:t>L'appelante fait grief au Tribunal d'avoir mal évalué le revenu de l'intimé, de n'avoir pas tenu compte du fait qu'elle souhaitait réduire son temps de travail pour des raisons de santé, d'avoir omis de retenir que les frais relatifs à C______ et D______ n'étaient pas identiques, du fait de leur différence d'âge, ce qui justifiait la fixation d'un palier d'augmentation intermédiaire à 15 ans et d'avoir renoncé à l'indexation des contributions.</w:t>
      </w:r>
    </w:p>
    <w:p>
      <w:r>
        <w:rPr>
          <w:b/>
        </w:rPr>
        <w:t>E. 3.1</w:t>
      </w:r>
    </w:p>
    <w:p>
      <w:r>
        <w:t>L'entretien est assuré par les soins et l'éducation ou, lorsque l'enfant n'est pas sous la garde de ses père et mère, par des prestations pécuniaires (art. 276 al. 2 CC). En vertu de l'art. 285 al. 1 CC,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w:t>
      </w:r>
    </w:p>
    <w:p>
      <w:r>
        <w:t>- 6/9 -</w:t>
      </w:r>
    </w:p>
    <w:p>
      <w:r>
        <w:t>C/9228/2015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(arrêt du Tribunal fédéral 5A_86/2016 du 5 septembre 2016, consid. 7.1). La loi n'impose pas de méthode de calcul de la contribution d'entretien (ATF 128 III 411 consid. 3.2.2; arrêt 5A_134/2016 du 18 juillet 2016 consid. 3); sa fixation relève de l'appréciation du juge, qui applique les règles du droit et de l'équité (art. 4 CC). Les besoins d'entretien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(arrêt du Tribunal fédéral 5A_61/2015 du 20 mai 2015 consid. 3.2.1.1). Ces tabelles sont fondées sur un revenu cumulé des parents de 7'000 fr. à 7'500 fr. par mois (BASTONS BULLETTI, L'entretien après divorce: méthodes de calcul, montant, durée et limites, in SJ 2007 II, p. 101). Selon les recommandations précitées, en 2016, pour une fratrie de deux enfants, l'entretien moyen d'un enfant âgé entre 7 et 12 ans est de 1'668 fr. par mois, comprenant 390 fr. d'entretien en nature et de 1'835 fr. par mois pour un enfant entre 13 et 18 ans, y compris 262 fr. d'entretien en nature. Une autre méthode de calcul à laquelle le juge peut se référer est celle dite abstraite. Cette méthode consiste, également en présence de revenus moyens, soit situés entre 5'000 fr. et 6'000 fr. par mois pour le seul parent débiteur, à calculer la contribution sur la base d'un pourcentage de ce revenu - 15 à 17% pour un enfant, 25 à 27% pour deux enfants, 30 à 35% pour trois enfants, en vertu des art. 276 et 285 CC. Il s'agit d'un taux approximatif qui doit être pondéré au vu des circonstances, selon l'équité. La pension fixée de cette manière doit toutefois rester en rapport avec le niveau de vie et la capacité contributive du débiteur, de sorte que le minimum vital du débirentier ne doit pas être entamé (arrêt du Tribunal fédéral 5A_745/2015, 5A_755/2015 du 15 juin 2015, consid. 4.5.2.2; BASTONS BULLETTI, op. cit., p. 108, note 169).</w:t>
      </w:r>
    </w:p>
    <w:p>
      <w:r>
        <w:t>- 7/9 -</w:t>
      </w:r>
    </w:p>
    <w:p>
      <w:r>
        <w:t>C/9228/2015 Selon l'art. 286 al. 1 CC, le juge peut ordonner que la contribution d'entretien soit augmentée ou réduite dès que des changements déterminés interviennent dans les besoins de l'enfant, les ressources des père et mère ou le coût de la vie.</w:t>
      </w:r>
    </w:p>
    <w:p>
      <w:r>
        <w:rPr>
          <w:b/>
        </w:rPr>
        <w:t>E. 3.2</w:t>
      </w:r>
    </w:p>
    <w:p>
      <w:r>
        <w:t>En l'espèce, contrairement à ce que soutient l'appelante, il n'y a aucune raison de penser que le certificat de salaire 2015, établi par la Commune de ______ (GE), ne mentionne pas l'intégralité des revenus de l'intimé. La teneur de ce certificat concorde d'ailleurs avec les autres pièces produites par l'intimé, à savoir le "journal individuel de paie" pour 2015 et le courrier du 20 janvier 2015 de la maire de ______ (GE) (pièces 24 et 25 intimé). Le salaire net de l'intimé pour 2015 est qui plus est cohérent avec celui, légèrement inférieur, qu'il a perçu en 2014. L'appelante ne fournit pour sa part aucune pièce étayant son allégation selon laquelle le revenu de l'intimé serait supérieur au montant indiqué par son certificat de salaire. C'est par conséquent à juste titre de le Tribunal a retenu que le revenu mensuel net de l'intimé était de l'ordre de 15'300 fr. par mois (183'337 fr : 12 mois). Après déduction de ses charges en 7'800 fr., le solde disponible de l'intimé est de 7'500 fr. environ. Les charges incompressibles des enfants sont quant à elles de 1'350 fr. par mois. Ce montant est légèrement supérieur à ce qui est prévu par les tabelles zurichoises pour D______, âgée de 12 ans, et qui est de 1'278 fr. après déduction des frais de soins et d'éducation fournis en nature (1'668 fr. moins 390 fr.). Il est par contre légèrement inférieur en ce qui concerne C______, âgé de 17 ans, puisque, selon ces tabelles, le coût de l'entretien d'un enfant entre 13 et 17 ans est évalué à 1'573 fr. par mois sans les soins en nature (1'835 fr. moins 262 fr.). Dans la mesure où l'appelante, attributaire de la garde des enfants, s'acquitte de son obligation d'entretien par les soins qu'elle voue aux enfants et l'éducation qu'elle leur prodigue, il se justifie de mettre à charge de l'intimé l'intégralité du coût de l'entretien financier des enfants. Les contributions seront dès lors fixées, par enfant, à 1'350 fr. jusqu'à l'âge de 13 ans et à 1'550 fr. par la suite. Elles seront dues dès le 15 avril 2016, date du prononcé du jugement querellé. Après paiement de ces contributions, l'intimé disposera d'un solde disponible de 4'600 fr. par mois, lequel lui permettra, cas échéant, de contribuer à l'entretien de son fils majeur, E______, qui est toujours étudiant.</w:t>
      </w:r>
    </w:p>
    <w:p>
      <w:r>
        <w:t>- 8/9 -</w:t>
      </w:r>
    </w:p>
    <w:p>
      <w:r>
        <w:t>C/9228/2015 Le solde disponible mensuel de l'appelante est quant à lui actuellement de 3'800 fr. environ, soit 10'200 fr. moins 6'400 fr. Dans l'hypothèse où elle concrétiserait son projet de réduire son temps de travail à 80%, son revenu de 8'160 fr. (80% de 10'200 fr.) lui permettra de financer ses propres charges. Conformément à l'art. 286 al. 1 CC, les contributions seront indexées à l'indice genevois des prix à la consommation, à condition toutefois que le revenu du débiteur le soit dans la même proportion. Le chiffre 5 du jugement querellé sera par conséquent modifié dans ce sens.</w:t>
      </w:r>
    </w:p>
    <w:p>
      <w:r>
        <w:rPr>
          <w:b/>
        </w:rPr>
        <w:t>E. 4</w:t>
      </w:r>
    </w:p>
    <w:p>
      <w:r>
        <w:t>Les frais sont mis à la charge de la partie qui succombe (art. 106 al. 1 CPC).</w:t>
      </w:r>
    </w:p>
    <w:p>
      <w:r>
        <w:t>Le tribunal peut s'écarter des règles générales et répartir les frais selon sa libre appréciation lorsque le litige relève du droit de la famille (art. 107 al. 1 let. a et c CPC). En l'espèce, vu l'issue de l'appel, il n'y a pas lieu de modifier la fixation et la répartition des frais effectuée par le Tribunal, lesquelles ne sont pas contestées de manière motivée en appel et sont au demeurant conformes à la loi. Dans la mesure où le litige relève du droit de la famille et où aucune des parties n'obtient entièrement gain de cause, les frais judiciaires de l'appel seront mis à charge des parties à raison d'une moitié chacune. Ils seront arrêtés à 1'250 fr. et compensés avec l'avance fournie par A______ qui restera acquise à l'Etat de Genève, B______ étant condamné à verser 625 fr. à ce titre à son ex-épouse (art. 30 et 35 RTFMC; art. 111 CPC). Chacune des parties gardera en outre à sa charge ses propres dépens. * * * * * *</w:t>
      </w:r>
    </w:p>
    <w:p>
      <w:r>
        <w:t>PAR CES MOTIFS, La Chambre civile : A la forme : Déclare recevable l'appel interjeté par A______ contre le chiffre 5 du dispositif du jugement JTPI/4879/2016 rendu le 15 avril 2016 par le Tribunal de première instance dans la cause C/9228/2015-1.</w:t>
      </w:r>
    </w:p>
    <w:p>
      <w:r>
        <w:t>- 9/9 -</w:t>
      </w:r>
    </w:p>
    <w:p>
      <w:r>
        <w:t>C/9228/2015 Au fond : Annule le chiffre 5 précité et, cela fait, statuant à nouveau : Condamne B______ à verser en mains de A______, par mois et d'avance, allocations familiales ou d'études non comprises, dès le 15 avril 2016, les montants suivants à titre de contributions à l'entretien des enfants C______, né le 25 novembre 1999 et D______, née le 28 octobre 2004 : 1'350 fr. jusqu'à l'âge de 13 ans et 1'550 fr. jusqu'à l'âge de 18 ans, voire au-delà en cas d'études sérieuses et suivies, mais au maximum jusqu'à 25 ans. Dit que ces montants seront indexés à l'indice genevois des prix à la consommation, la première fois le 1er janvier 2017, l'indice de référence étant celui du mois du prononcé du jugement de divorce, pour autant que les revenus du débiteur soient indexés de la même manière. Confirme pour le surplus le jugement querellé. Déboute les parties de toutes autres conclusions. Sur les frais : Arrête à 1'250 fr. les frais judiciaires d'appel et les compense avec l'avance effectuée par A______ qui reste acquise à l'Etat de Genève. Les met à charge des parties à raison d'une moitié chacune et condamne B______ à verser 625 fr. à A______ à ce titre. Dit que chaque partie gardera à sa charge ses propres dépens.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