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ACJC/1673/2022 vom 20. Dezember 2022</w:t>
      </w:r>
    </w:p>
    <w:p>
      <w:r>
        <w:t>GE Cour de justice, 2022-12-20, FR</w:t>
      </w:r>
    </w:p>
    <w:p>
      <w:r>
        <w:rPr>
          <w:b/>
        </w:rPr>
        <w:t xml:space="preserve">Quelle: </w:t>
      </w:r>
      <w:r>
        <w:t>https://mcp.opencaselaw.ch/entscheid/ge_gerichte_ACJC_1673_2022</w:t>
      </w:r>
    </w:p>
    <w:p>
      <w:r>
        <w:t>FR: GE_GERICHTE ACJC/1673/2022 du 20 décembre 2022</w:t>
      </w:r>
    </w:p>
    <w:p>
      <w:r>
        <w:t>IT: GE_GERICHTE ACJC/1673/2022 del 20 dicembre 2022</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devant le premier juge portait notamment sur le paiement d'une contribution d'entretien post-divorce de 4'000 fr. par mois jusqu'à la retraite de l'appelante, soit une valeur capitalisée supérieure à 10'000 fr. (cf. art. 92 al. 1 CPC). La voie de l'appel est dès lors ouverte.</w:t>
      </w:r>
    </w:p>
    <w:p>
      <w:r>
        <w:rPr>
          <w:b/>
        </w:rPr>
        <w:t>E. 1.2</w:t>
      </w:r>
    </w:p>
    <w:p>
      <w:r>
        <w:t>Interjeté dans les trente jours suivant la notification de la décision entreprise et dans la forme prescrite par la loi (art. 130, 131 et 142 al. 1 CPC; art. 311 al. 1 CPC), l'appel est recevable.</w:t>
      </w:r>
    </w:p>
    <w:p>
      <w:r>
        <w:rPr>
          <w:b/>
        </w:rPr>
        <w:t>E. 1.3</w:t>
      </w:r>
    </w:p>
    <w:p>
      <w:r>
        <w:t>La Cour revoit la cause avec un plein pouvoir d'examen (cf. art. 310 CPC). En l'absence d'enfants mineurs, elle applique la maxime des débats et le principe de disposition (art. 55 al. 1, 58 al. 1 et 277 al. 1 CPC).</w:t>
      </w:r>
    </w:p>
    <w:p>
      <w:r>
        <w:rPr>
          <w:b/>
        </w:rPr>
        <w:t>E. 2</w:t>
      </w:r>
    </w:p>
    <w:p>
      <w:r>
        <w:t>L'appelante reproche au Tribunal de l'avoir condamnée à payer à l'intimé une indemnité de 3'000 fr. par mois pour l'exercice du droit d'habitation qui lui a simultanément été octroyé sur l'ancien logement de la famille. Cette question ayant une portée préjudicielle sur les besoins d'entretien de l'appelante, il se justifie de l'examiner en priorité.</w:t>
      </w:r>
    </w:p>
    <w:p>
      <w:r>
        <w:rPr>
          <w:b/>
        </w:rPr>
        <w:t>E. 2.1</w:t>
      </w:r>
    </w:p>
    <w:p>
      <w:r>
        <w:t>En vertu de l'art.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L'indemnité équitable doit être fixée en fonction de l'ensemble des circonstances du cas concret (art. 4 CC; arrêt du Tribunal fédéral 5A_138/2010 du 8 juillet 2010 consid. 3.3). Si la valeur locative du logement au moment du divorce peut constituer un point de départ pour déterminer son montant, elle n'est toutefois pas décisive. L'indemnité n'équivaut en effet pas nécessairement au montant du loyer que l'époux propriétaire pourrait exiger d'un tiers. D'autres critères doivent également être pris en considération comme la capacité financière et l'âge des parties, les charges, notamment hypothécaires, de l'immeuble, les besoins des enfants ou la durée du mariage (arrêt du Tribunal fédéral 5A_138/2010 du 8 juillet</w:t>
      </w:r>
    </w:p>
    <w:p>
      <w:r>
        <w:t>- 13/26 -</w:t>
      </w:r>
    </w:p>
    <w:p>
      <w:r>
        <w:t>C/9140/2016 2010 consid. 3.2; BARRELET, in Droit matrimonial, 2016, 34 ad art. 121 CC; SCYBOZ, in Commentaire romand, Code civil I, n. 25 ad art. 121 CC).</w:t>
      </w:r>
    </w:p>
    <w:p>
      <w:r>
        <w:rPr>
          <w:b/>
        </w:rPr>
        <w:t>E. 2.2</w:t>
      </w:r>
    </w:p>
    <w:p>
      <w:r>
        <w:t>En l'espèce, l'octroi à l'appelante d'un droit d'habitation s'étendant jusqu'au 31 octobre 2023 sur l'appartement n. 3______ qu'elle occupe actuellement n'est plus litigieux. Il n'est pas davantage contesté que l'appelante ne puisse exercer ce droit qu'en contrepartie d'une indemnité équitable. S'agissant de cette indemnité, il faut admettre avec l'appelante que la décision du Tribunal d'arrêter son montant à 3'000 fr. par mois, en se fondant seulement sur le loyer que l'intimé pourrait exiger d'un tiers – loyer résultant en l'espèce uniquement d'une estimation émanant d'un agent immobilier mandaté par l'intimé lui-même – n'est pas entièrement conforme aux principes rappelés ci-dessus. En vertu de ces principes, il convient également de tenir compte du fait que le montant susvisé paraît excessif compte tenu de la situation financière de l'appelante, même au regard du revenu hypothétique de 6'000 fr. nets par mois qui lui a été imputé par le premier juge. Il faut également relever que le montant de 3'000 fr. par mois correspondait, selon la convention des parties dont l'intimé a contesté le caractère inéquitable, à l'indemnité due par l'appelante pour l'occupation du domicile conjugal lorsque celui-ci comprenait les appartements 3______ et 4______ réunis en un seul logement, et non le seul appartement 3______ actuellement occupé par l'appelante. Or, il n'est pas contesté que la taille de cet appartement ne représente qu'environ la moitié de celle des deux logements réunis. L'intimé ne démontre par ailleurs pas qu'une indemnité de 3'000 fr. par mois lui serait nécessaire pour couvrir les charges inhérentes à l'appartement litigieux, qui n'est notamment grevé d'aucune hypothèque. Il n'a par ailleurs pas contesté l'ordonnance du 21 décembre 2021 fixant en dernier lieu à 1'800 fr. par mois le montant de l'indemnité d'occupation due par l'appelante. Faute de preuve contraire, il faut dès lors admettre que ce dernier montant suffit à couvrir les charges de copropriété concernées, qui s'élèvent à 615 fr. par mois, ainsi que la charge fiscale liée à l'indemnité d'occupation perçue. Disposant de deux autres appartements dans l'immeuble concerné, dont un qu'il occupe actuellement, l'intimé ne fait pas davantage état d'un besoin d'occuper ledit appartement personnellement. Ses allégations selon lesquelles l'appelante n'occuperait plus le logement en question ne sont étayées par aucun élément probant. Le seul fait que l'appelante n'ait pas quitté ledit logement à l'échéance initialement prévue ne doit pas conduire à retenir que celle-ci doive s'acquitter pour son occupation d'une indemnité correspondant au loyer exigible supposé, sans tenir compte des circonstances mentionnées ci-dessus, et ce au moins tant que l'appelante bénéficie sur le ledit logement d'un droit d'habitation, dont le principe et la durée ne sont plus contestés. Ainsi, au vu de l'ensemble de ces circonstances et en vertu du pouvoir d'appréciation qui lui est réservé, la Cour maintiendra le montant de l'indemnité</w:t>
      </w:r>
    </w:p>
    <w:p>
      <w:r>
        <w:t>- 14/26 -</w:t>
      </w:r>
    </w:p>
    <w:p>
      <w:r>
        <w:t>C/9140/2016 d'occupation litigieuse au montant de 1'800 fr. par mois offert par l'appelante, du 21 décembre 2021 au 31 octobre 2023, puis le fixera à 3'000 fr. par mois dès cette dernière date, si l'appelante ne devait pas quitter le logement concerné à l'échéance de son droit d'habitation. Le chiffre 6 du dispositif du jugement entrepris sera réformé en ce sens.</w:t>
      </w:r>
    </w:p>
    <w:p>
      <w:r>
        <w:rPr>
          <w:b/>
        </w:rPr>
        <w:t>E. 3</w:t>
      </w:r>
    </w:p>
    <w:p>
      <w:r>
        <w:t>L'appelante conteste le montant de la contribution à son entretien mise à la charge de l'intimé par le premier juge. Reprochant notamment à celui-ci de lui avoir imputé un revenu hypothétique, elle sollicite le paiement d'une contribution de 4'000 fr. par mois jusqu'à ce qu'elle atteigne l'âge de la retraite, plutôt que le paiement de montants s'échelonnant de 1'890 fr. à 2'040 fr. par mois jusqu'à cette échéance.</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293 consid. 4.4; 138 III 289 consid. 11.1.2; arrêts du Tribunal fédéral 5A_868/2021 du 14 juin 2022 consid. 3.1; 5A_568/2021 du 25 mars 2022 consid. 4.1 destiné à la publication). La détermination de la contribution d'entretien est laissée, pour une part importante, à l'appréciation du juge du fait, qui applique les règles du droit et de l'équité (art. 4 CC; ATF 134 III 577 consid. 4; arrêts du Tribunal fédéral 5A_868/2021 précité consid. 3.1; 5A_93/2019 du 13 septembre 2021 consid. 3.1; 5A_78/2020 du 5 février 2021 consid. 4.1).</w:t>
      </w:r>
    </w:p>
    <w:p>
      <w:r>
        <w:rPr>
          <w:b/>
        </w:rPr>
        <w:t>E. 3.1.1</w:t>
      </w:r>
    </w:p>
    <w:p>
      <w:r>
        <w:t>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ATF 141 III 465 consid. 3.1; arrêts du Tribunal fédéral 5A_868/2021 précité consid. 3.1; 5A_568/2021 précité consid. 4.1; 5A_93/2019 précité consid. 3.1; 5A_78/2020 précité consid. 4.1). Le mariage doit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assurant un revenu équivalent. Ce sont les circonstances du cas particulier qui sont déterminantes à cet égard, et non des présomptions abstraites</w:t>
      </w:r>
    </w:p>
    <w:p>
      <w:r>
        <w:t>- 15/26 -</w:t>
      </w:r>
    </w:p>
    <w:p>
      <w:r>
        <w:t>C/9140/2016 posées antérieurement par la jurisprudence (ATF 147 III 249 consid. 3.4.2-3.4.3; arrêt du Tribunal fédéral 5A_568/2021 précité consid. 4.2 destiné à la publication).</w:t>
      </w:r>
    </w:p>
    <w:p>
      <w:r>
        <w:rPr>
          <w:b/>
        </w:rPr>
        <w:t>E. 3.1.2</w:t>
      </w:r>
    </w:p>
    <w:p>
      <w:r>
        <w:t>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Il en découle pour l'époux un devoir de se (ré)intégrer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arrêt du Tribunal fédéral 5A_868/2021 précité consid. 3.1). En principe, le devoir de se (ré) intégrer sur le marché du travail ou d'étendre une activité lucrative déjà existante s'impose également dès la séparation lorsque l'on ne peut plus compter sérieusement sur une reprise de la vie commune (ATF 147 III 249 consid. 3.4.4 et les références; arrêts du Tribunal fédéral 5A_868/2021 précité consid. 3.1; 5A_407/2021 du 6 mai 2022 consid. 3.1). Il s'agit d'inciter la personne à réaliser le revenu qu'elle est en mesure de se procurer et qu'on peut raisonnablement exiger d'elle (ATF 143 III 233 consid. 3.2; 137 III 102 consid. 4.2.2.2; arrêts 5A_484/2020 du 16 février 2021 consid. 5.1).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5A_15/2021 du 25 novembre 2021 consid. 6.1).</w:t>
      </w:r>
    </w:p>
    <w:p>
      <w:r>
        <w:rPr>
          <w:b/>
        </w:rPr>
        <w:t>E. 3.1.3</w:t>
      </w:r>
    </w:p>
    <w:p>
      <w:r>
        <w:t>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arrêts du Tribunal fédéral 5A_97/2017 et 5A_114/2017 du 23 août 2017 consid. 11.1).</w:t>
      </w:r>
    </w:p>
    <w:p>
      <w:r>
        <w:t>- 16/26 -</w:t>
      </w:r>
    </w:p>
    <w:p>
      <w:r>
        <w:t>C/9140/2016 La durée de la contribution d'entretien dépend notamment des perspectives offertes au bénéficiaire d'améliorer sa capacité à assurer son entretien par ses propres revenus (ATF 132 III 593 consid. 7; 129 III 7 consid. 3.1; 127 III 136 consid. 2a).</w:t>
      </w:r>
    </w:p>
    <w:p>
      <w:r>
        <w:rPr>
          <w:b/>
        </w:rPr>
        <w:t>E. 3.2</w:t>
      </w:r>
    </w:p>
    <w:p>
      <w:r>
        <w:t>En l'espèce, il n'est pas contesté ni contestable que le mariage a eu une influence durable sur la situation économique de l'appelante au vu de sa durée (22 ans), de la naissance de deux enfants et de l'interruption par l'appelante de son activité professionnelle pour se consacrer à l'éducation de ceux-ci et à la tenue du ménage. Sur le principe, l'appelante peut donc prétendre au maintien du train de vie mené durant le mariage et, si elle ne peut pourvoir elle-même à ce train de vie, qui constitue la limite supérieure de son entretien convenable, exiger de l'intimé qu'il contribue à son entretien pour y parvenir, dans la mesure ou sa situation financière le lui permet.</w:t>
      </w:r>
    </w:p>
    <w:p>
      <w:r>
        <w:rPr>
          <w:b/>
        </w:rPr>
        <w:t>E. 3.2.1</w:t>
      </w:r>
    </w:p>
    <w:p>
      <w:r>
        <w:t>L'entretien convenable auquel peut prétendre l'appelante n'est pas davantage contesté et comprend les charges courantes mentionnées sous consid. C let. h.a en fait ci-dessus, lesquelles totalisent 4'500 fr. par mois, entretien de base compris et hors frais de logement. S'agissant desdits frais de logement, il convient de prendre en compte l'indemnité d'occupation arrêtée ci-dessus (1'800 fr. par mois) pour la période s'étendant jusqu'au 31 octobre 2023. Ensuite, le loyer hypothétique de 2'000 fr. par mois attribué par le premier juge à l'appelante n'est pas contesté et sera également retenu, étant observé qu’elle ne sera pas tenue de s'acquitter d'une indemnité d'occupation de 3'000 fr. par mois si elle quitte son logement actuel à l'échéance du droit d'habitation qui lui est octroyé, conformément à ses engagements. Il n'y a dès lors pas lieu de tenir compte de cette indemnité majorée. Comme le Tribunal (à qui l'appelante reproche à juste titre d'avoir omis de tenir compte de l'indemnité d'occupation de 3'000 fr. par mois qu'il a fixée dès le prononcé du divorce, ce grief étant toutefois sans objet dès lors que le montant de cette indemnité est ici arrêté à 1'800 fr. par mois pour les motifs exposés ci- dessus), il faut donc admettre que l'entretien convenable de l'appelante s'élève à 6'300 fr. par mois (4'500 fr + 1'800 fr.) jusqu'au 31 octobre 2023, puis à 6'500 fr. par mois (4'500 fr. + 2'000 fr.) par la suite.</w:t>
      </w:r>
    </w:p>
    <w:p>
      <w:r>
        <w:rPr>
          <w:b/>
        </w:rPr>
        <w:t>E. 3.2.2</w:t>
      </w:r>
    </w:p>
    <w:p>
      <w:r>
        <w:t>S'agissant de la capacité de l'appelante à pourvoir elle-même à son entretien, celle-ci a travaillé en qualité d'aide-soignante jusqu'au mariage; en 2015, elle a obtenu un CFC d'assistante socio-éducative, puis a repris une activité d'aide- soignante à titre indépendant en 2018. L'appelante indique qu'elle tire depuis lors de cette profession des revenus d'environ 2'000 fr. par mois, pour un taux d'activité de 30% environ. A teneur de la procédure, l'appelante ne souffre</w:t>
      </w:r>
    </w:p>
    <w:p>
      <w:r>
        <w:t>- 17/26 -</w:t>
      </w:r>
    </w:p>
    <w:p>
      <w:r>
        <w:t>C/9140/2016 cependant d'aucun problème de santé. Agée de 54 ans à l'entrée en force du divorce et n'ayant plus la charge d'enfants, il faut, comme le Tribunal, admettre qu'on peut attendre d'elle qu'elle augmente son taux d'activité pour subvenir à son entretien, en travaillant au besoin à plein temps ou à un taux proche d'un temps complet. La demande de personnel dans le secteur des soins à domicile ou des services à la personne étant notoirement élevée, en raison notamment du vieillissement de la population (cf. https://www.obsan.admin.ch/fr/themes-de-sante/professionnels-de- sante/personnel-soignant; cf. eg. https://www.bilan.ch/story/les-soins-de-longue- duree-deviendront-la-norme-dici-2040-974501457126), il faut également retenir que l'appelante a la possibilité effective d'étendre son taux d'activité, pour atteindre le taux susvisé. Ses allégations selon lesquelles il lui serait nécessaire de disposer d'un diplôme supplémentaire d'assistante en soins communautaires pour trouver un emploi à plein temps ou pour exercer une activité indépendante à un tel taux ne sont étayées par aucun élément probant. A supposer que tel soit le cas, on relèvera qu'il incombait à l'appelante d'entreprendre une telle formation, dès lors qu'elle ne pouvait plus sérieusement compter sur une reprise de la vie commune, soit en l'occurrence dès l'année 2016 ou 2017, au vu de l'introduction de la procédure de divorce (et alors que sa précédente formation s'était achevée en 2015), de sorte qu'elle pourrait aujourd'hui disposer du diplôme en question. Il n'y a dès lors pas lieu de lui dénier la possibilité effective d'étendre son taux d'activité pour ce motif. Quant aux revenus que l'appelante pourrait tirer de l'augmentation de son taux d'activité, ses propres allégations selon lesquelles elle gagnerait actuellement environ 2'000 fr. par mois à un taux de 30% ne sont pas démontrées à satisfaction de droit, dès lors qu'elle ne tient aucune comptabilité, ne déclare pas de revenus au fisc et ne paie par conséquent en l'état pas d'impôt sur ces revenus. Comme l'a retenu le Tribunal, il faut néanmoins en tenir compte et admettre que l'appelante pourrait réaliser à plein temps un revenu de 6'000 fr. nets par mois environ, étant observé qu'un tel montant n'est que légèrement supérieur au revenu médian de 6'540 fr. bruts (soit environ 5'755 fr. nets après déduction de 12% de charges) donné par les statistiques officielles si l'appelante était employée à un poste similaire (cf. https://entsendung.admin.ch/Lohnrechner/lohnberechnung, branche santé humaine et action sociale, âge de 54 ans, sans années de service, apprentissage complet, sans fonction de cadre, groupe du personnel soignant, 40 heures par semaine à Genève). La différence peut au besoin être imputée au caractère indépendant de l'activité exercée par l'appelante. Partant, le jugement entrepris doit être confirmé en tant qu'il a imputé à l'appelante un revenu hypothétique de 6'000 fr. par mois dès son prononcé. Il s'ensuit qu'il manque seulement à l'appelante un montant de 300 fr. par mois jusqu'au</w:t>
      </w:r>
    </w:p>
    <w:p>
      <w:r>
        <w:t>- 18/26 -</w:t>
      </w:r>
    </w:p>
    <w:p>
      <w:r>
        <w:t>C/9140/2016 31 octobre 2023 (6'000 fr. – 6'300 fr.), puis de 500 fr. par mois ensuite (6'000 fr. – 6'500 fr.) pour assurer son entretien convenable.</w:t>
      </w:r>
    </w:p>
    <w:p>
      <w:r>
        <w:rPr>
          <w:b/>
        </w:rPr>
        <w:t>E. 3.2.3</w:t>
      </w:r>
    </w:p>
    <w:p>
      <w:r>
        <w:t>Au surplus, les parties ne critiquent pas l'appréciation de la situation financière de l'intimé opérée par le premier juge. Il n'est en particulier pas contesté que l'intimé dispose de revenus s'élevant à 11'500 fr. nets par mois (8'605 fr. + 2'895 fr.), lui laissant un disponible mensuel de 6'655 fr. après déduction de ses charges (4'535 fr.) et de l'indemnité de prévoyance versée à l'appelante (310 fr.). Il n'est pas davantage contesté qu'après couverture du déficit de l'appelante, l'excédent que possède l'intimé s'élève à 6'355 fr. jusqu'au 31 octobre 2023 (6'655 fr. – 300 fr.), puis à 6'155 fr. ensuite (6'655 fr. – 500 fr.), ni qu'il convienne en l'espèce de diviser cet excédent par quatre, afin notamment de permettre à l'intimé de contribuer à l'entretien des deux enfants majeurs des parties, comme il le fait effectivement. Comme l'a retenu le premier juge, ceci détermine à 1'890 fr. par mois le montant revenant à l'appelante jusqu'au 31 octobre 2023 (300 fr. + [6'355 fr. ÷ 4]) et à 2'040 fr. par mois la somme due par la suite (500 fr. + [6'155 fr.]), le tout en chiffres ronds.</w:t>
      </w:r>
    </w:p>
    <w:p>
      <w:r>
        <w:rPr>
          <w:b/>
        </w:rPr>
        <w:t>E. 3.3</w:t>
      </w:r>
    </w:p>
    <w:p>
      <w:r>
        <w:t>Partant, le jugement entrepris sera confirmé en tant qu'il a arrêté la contribution d'entretien due à l'appelante aux montants susvisés (ch. 3 du dispositif). Il est également conforme aux principes rappelés ci-dessus que cette contribution soit due dès le prononcé de la décision entreprise et le demeure jusqu'à ce que l'appelante atteigne l'âge de la retraite, ce qui n'est pas non plus contesté. Les parties seront au surplus libres de compenser le montant de l'indemnité d'occupation due à l'appelant avec celui de ladite contribution d'entretien si elles le souhaitent.</w:t>
      </w:r>
    </w:p>
    <w:p>
      <w:r>
        <w:rPr>
          <w:b/>
        </w:rPr>
        <w:t>E. 4</w:t>
      </w:r>
    </w:p>
    <w:p>
      <w:r>
        <w:t>Dans un dernier grief, l'appelante conteste la liquidation des rapports patrimoniaux opérée par le Tribunal, reprochant à celui-ci de s'être basé sur des faits et des pièces qui auraient dû être, selon elle, déclarés irrecevables. Elle réclame à ce titre la constatation de ses créances, respectivement le paiement de 348'035 fr. 20, correspondant à sa part de liquidation en 849'456 fr., sous déduction de 501'420 fr. 80 déjà reçus. Les conclusions constatatoires étant subsidiaires aux conclusions condamnatoires (ATF 142 V 2. consid. 1.1; 141 II 113 consid. 1.7; 137 II 199 consid. 6.5), il y a lieu d'examiner si l'appelante est en droit de réclamer le paiement de la somme réclamée au titre de liquidation des rapports patrimoniaux.</w:t>
      </w:r>
    </w:p>
    <w:p>
      <w:r>
        <w:t>- 19/26 -</w:t>
      </w:r>
    </w:p>
    <w:p>
      <w:r>
        <w:t>C/9140/2016</w:t>
      </w:r>
    </w:p>
    <w:p>
      <w:r>
        <w:rPr>
          <w:b/>
        </w:rPr>
        <w:t>E. 4.1</w:t>
      </w:r>
    </w:p>
    <w:p>
      <w:r>
        <w:t>En premier lieu, l'appelante conteste la recevabilité des faits relatifs au financement des biens immobiliers et des pièces y relatives invoqués par l'intimé postérieurement au renvoi de la cause au Tribunal. Elle soutient que le Tribunal, respectivement la Cour, est liée par les considérants de l'arrêt de renvoi ACJC/297/2018 du 6 mars 2018 et qu'à leur lecture il devait être procédé à un partage simple par moitié en faveur de chacun des époux de la valeur de l'appartement conjugal et du chalet de C______, évalués respectivement à 1'280'000 fr. et entre EUR 370'000 et EUR 380'000, sans prendre en considération les investissements de l'intimé, lesquels ne ressortent pas de l'arrêt de renvoi.</w:t>
      </w:r>
    </w:p>
    <w:p>
      <w:r>
        <w:rPr>
          <w:b/>
        </w:rPr>
        <w:t>E. 4.1.1</w:t>
      </w:r>
    </w:p>
    <w:p>
      <w:r>
        <w:t>En cas de renvoi de la cause, l'autorité à laquelle la cause est renvoyée doit fonder sa nouvelle décision sur les considérants en droit de l'arrêt de renvoi. La cognition du juge se voit limitée par les motifs de l'arrêt de renvoi, en ce sens qu'il est lié par ce qui a été tranché définitivement par l'autorité supérieure (ATF 133 III 201 consid. 4.2 et 131 III 91 consid. 5.2; arrêt du Tribunal fédéral 5A_94/2018 du 16 juillet 2018 consid. 2.2). Cela signifie que l'autorité inférieure doit limiter son examen aux points sur lesquels sa première décision a été annulée et que, pour autant que cela implique qu'elle revienne sur d'autres points, elle doit se conformer au raisonnement juridique de l'arrêt de renvoi (ATF 143 IV 214 consid. 5.2.1; 135 III 334 consid. 2; arrêt du Tribunal fédéral 5A_279/2018 du</w:t>
      </w:r>
    </w:p>
    <w:p>
      <w:r>
        <w:rPr>
          <w:b/>
        </w:rPr>
        <w:t>E. 4.1.2</w:t>
      </w:r>
    </w:p>
    <w:p>
      <w:r>
        <w:t>En l'espèce, dans son arrêt ACJC/297/2018 du 6 mars 2018, la Cour de céans, après avoir refusé de ratifier la convention de divorce conclue entre les parties, la considérant peu claire et inéquitable, a renvoyé la cause au Tribunal pour instruction complémentaire et nouvelle décision s'agissant de tous les effets accessoires du divorce.</w:t>
      </w:r>
    </w:p>
    <w:p>
      <w:r>
        <w:t>- 20/26 -</w:t>
      </w:r>
    </w:p>
    <w:p>
      <w:r>
        <w:t>C/9140/2016 Contrairement à l'avis de l'appelante, la cognition de la Cour était alors limitée à vérifier le caractère équitable de la convention qui lui était soumise pour ratification par un examen global, sans procéder à un examen complet des faits et de leur portée juridique (cf. arrêt de la Cour de justice ACJC/297/2018 du 6 mars 2018 consid. 5.1, p. 16). Le renvoi de la cause auprès du premier juge était précisément destiné à instruire tous les effets accessoires du divorce, y compris les prétentions en lien avec la liquidation des rapports patrimoniaux, en raison de l'invalidation de la convention de divorce. En effet, dans la mesure où les parties avaient introduit une procédure commune assortie d'une convention complète, laquelle n'exposait quasiment aucun fait à l'appui des conclusions formées par les parties, le dossier n'était pas en état d'être jugé sur le divorce des parties et ses effets accessoires. La motivation de l'arrêt de renvoi de la Cour reflète d'ailleurs ce manque de substance puisque celle-ci a relevé qu'il n'existait aucune information quant aux avoirs de prévoyance et que les droits des parties n'étaient pas suffisamment documentés (l'épouse "pourrait" prétendre "a priori", […] "les éléments actuellement au dossier"). L'instruction complémentaire ordonnée par la Cour avait ainsi pour but d'établir tous les éléments permettant de procéder conformément aux dispositions légales applicables, dès lors que la convention n'était plus appelée à s'appliquer. Les faits et pièces invoqués par l'intimé devant le Tribunal relatifs au partage des biens immobiliers et à leur financement s'inscrivent ainsi dans le cadre de l'arrêt de renvoi de la Cour. Par ailleurs, ils ont été invoqués en temps utile. A cet égard, il sied de relever qu'à la suite du renvoi, le Tribunal a, à juste titre, transformé la cause en procédure contradictoire en application de l'art. 288 al. 2 CPC, la qualité de demanderesse ayant été attribuée à l'appelante et la qualité de défendeur à l'intimé, et tenu des débats d'instruction lors des audiences des 7 octobre et 11 novembre 2019 avant d'ordonner formellement l'ouverture des débats principaux, comme cela ressort expressément des procès-verbaux d'audience. Les pièces et faits litigieux invoqués par l'intimé ont tous été produits lors desdits débats d'instruction, soit à un stade de la procédure où ils étaient admissibles (cf. art. 226 CPC), sous réserve de la pièce 1110, produite le 6 janvier 2020, sans que l'intimé n'explique pour quel motif il n'aurait pas pu la produire avant.</w:t>
      </w:r>
    </w:p>
    <w:p>
      <w:r>
        <w:t>Au demeurant, l'appelante n'a élevé aucune critique ni quant à la manière de procéder du Tribunal ni quant à la recevabilité des faits et pièces allégués par sa partie adverse devant le premier juge. Ce n'est qu'au terme de la procédure, dans le cadre de ses plaidoiries finales du 25 février 2021, soit environ deux ans après la réouverture de l'instruction et après la tenue d'au moins quatre audiences auxquelles elle a participé, qu'elle a soulevé pour la première fois un grief quant à la recevabilité des pièces produites par sa partie adverse. Or, le principe de la</w:t>
      </w:r>
    </w:p>
    <w:p>
      <w:r>
        <w:t>- 21/26 -</w:t>
      </w:r>
    </w:p>
    <w:p>
      <w:r>
        <w:t>C/9140/2016 bonne foi en procédure (art. 52 CPC) imposait à l'appelante de s'opposer sans tarder aux pièces litigieuses si elle entendait remettre en cause leur recevabilité. Elle ne saurait invoquer après coup des moyens qu'elle a renoncé à faire valoir en temps utile en cours de procédure.</w:t>
      </w:r>
    </w:p>
    <w:p>
      <w:r>
        <w:t>Au vu de ce qui précède, sous réserve éventuelle de la pièce 1110, la recevabilité des pièces litigeuses produites les 7 octobre et 11 novembre 2019 par l'intimé, ainsi que les faits s'y rapportant, doit être admise. Dès lors, c'est à bon droit que le Tribunal ne les a pas déclarés irrecevables.</w:t>
      </w:r>
    </w:p>
    <w:p>
      <w:r>
        <w:rPr>
          <w:b/>
        </w:rPr>
        <w:t>E. 4.2</w:t>
      </w:r>
    </w:p>
    <w:p>
      <w:r>
        <w:t>Reste à examiner la liquidation des rapports patrimoniaux entre les parties.</w:t>
      </w:r>
    </w:p>
    <w:p>
      <w:r>
        <w:rPr>
          <w:b/>
        </w:rPr>
        <w:t>E. 4.2.1</w:t>
      </w:r>
    </w:p>
    <w:p>
      <w:r>
        <w:t>Dans le régime matrimonial de la séparation de biens (art. 247 ss CC), la dissolution du lien conjugal n'entraîne pas de liquidation proprement dite du régime matrimonial, puisque les patrimoines des époux sont demeurés distincts. Ce régime tend à réaliser la plus complète dissociation des intérêts des époux (DESCHENAUX/STEINAUER/BADDELEY, Les effets du mariage, Berne, 2017, n. 1595, p. 903). Les règles du droit commun s'appliquent à leurs rapports pécuniaires comme à ceux des personnes non mariées (PILLER, in Commentaire romand CC I, n. 1 ad art. 247-251 CC). Le partage de la copropriété est ainsi régi par les règles ordinaires des art. 650 et 651 CC, auxquelles s'ajoute le mode de partage prévu par l'art. 251 CC lorsque l'objet est détenu en copropriété par des époux séparés de biens. Les époux séparés de biens peuvent partager l'objet en nature, procéder à une vente de gré à gré ou aux enchères avec répartition subséquente du prix; il est également envisageable qu'un époux reprenne la part de l'autre. Si les époux ne s'entendent pas sur le mode de partage, chacun d'eux peut ouvrir l'action en partage (art. 651 al. 2 CC). Le juge détermine alors le mode de partage (arrêts du Tribunal fédéral 5A_24/2017 du 15 mai 2017 consid. 5.2; 5A_478/2016 du 10 mars 2017 consid. 6.1.2; 5A_62/2015 du 28 avril 2015 consid. 2.3 et les références citées). L'attribution du bien à l'un des conjoints ne doit pas placer l'autre dans une situation moins bonne que celle qui aurait été la sienne dans l'hypothèse d'un partage physique du bien ou de sa vente aux enchères. Le juge ne peut par conséquent attribuer le bien à l'un des conjoints que contre une pleine indemnisation de l'autre époux, laquelle doit être calculée sur la base de la valeur vénale du bien (ATF 138 III 150 consid. 5.1.2; arrêts du Tribunal fédéral 5A_478/2016 du 10 mars 2017 consid. 6.1.2; 5A_54/2011 du 23 mai 2011 consid. 2.4.2 publié in FamPra.ch 2011 p. 978). Cela est valable aussi bien dans le cadre du partage de la copropriété pour des époux soumis au régime matrimonial de la séparation de biens avec application de l'art. 251 CC que pour ceux soumis au régime matrimonial de la participation aux acquêts avec application de</w:t>
      </w:r>
    </w:p>
    <w:p>
      <w:r>
        <w:t>- 22/26 -</w:t>
      </w:r>
    </w:p>
    <w:p>
      <w:r>
        <w:t>C/9140/2016 l'art. 205 al. 2 CC (arrêt du Tribunal fédéral 5A_24/2017 du 15 mai 2015 consid. 5.2). Lorsque le partage de la copropriété s'effectue par la vente (art. 651 al. 2 CC), le produit net de celle-ci, après déduction des montants liés aux investissements effectués par chacun d'eux, est réparti entre les époux conformément à leurs quotes-parts respectives (arrêts du Tribunal fédéral 5A_24/2017 du 15 mai 2017 consid. 5.4; 5A_417/2012 du 15 août 2012 consid. 4.3.1; 5A_600/2010 du 5 janvier 2011 consid. 6.1). Lorsque les époux sont inscrits comme copropriétaires pour une moitié chacun au Registre foncier, il faut en déduire qu'ils ont l'un et l'autre voulu partager entre eux la plus-value par moitié, sans égard au financement du prix d'achat du bien (ATF 138 III 150 consid. 5.1.4), étant relevé que le Tribunal fédéral a clairement exclu l'application par analogie de l'art. 206 CC dans le cadre de la liquidation des rapports patrimoniaux d'époux séparés de biens (ATF 138 III 348 consid. 7.1.1; arrêt du Tribunal fédéral 5A_478/2016 du 10 mars 2017 consid. 9.2). Partant, si le bien est attribué à l'un des époux, l'indemnité due à l'autre en contrepartie de cette attribution comprend donc, d'une part, le montant des propres investissements de celui-ci et, d'autre part, la moitié de la plus-value (arrêt du Tribunal fédéral 5A_464/2012 du 30 novembre 2012 consid. 6.3.1). 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du 30 novembre 2012 consid. 6.3.1). Si l'un des époux prétend avoir obtenu de son conjoint une donation, il doit l'établir; la donation ne se présume pas, même entre époux (ATF 141 III 53 consid. 5.3.2; arrêts du Tribunal fédéral 5A_626/2017 du 29 juin 2018 consid. 3.2; 5A_1006/2017 du 5 février 2018 consid. 4; 5A_87/2010 du 5 mai 2010 consid. 3.1)</w:t>
      </w:r>
    </w:p>
    <w:p>
      <w:r>
        <w:rPr>
          <w:b/>
        </w:rPr>
        <w:t>E. 4.2.2</w:t>
      </w:r>
    </w:p>
    <w:p>
      <w:r>
        <w:t>En l'espèce, les parties ne contestent pas le mode de partage des biens immobiliers litigieux, ne revenant pas sur le principe de la vente des parts de l'appelante à l'intimé. L'appelante estime en revanche être en droit de réclamer un montant supérieur aux versements déjà perçus, à titre de liquidation du logement conjugal et du chalet de C______.</w:t>
      </w:r>
    </w:p>
    <w:p>
      <w:r>
        <w:t>Concernant l'appartement conjugal, il est établi et pas contesté que ce bien a été acquis en 2000 pour le prix de 603'430 fr. et que sa valeur s'élevait à environ 1'200'000 fr. au moment du rachat de la part de copropriété de l'appelante. Par ailleurs, il résulte des pièces valablement produites par l'intimé (cf. consid. 4.1 supra), notamment des actes d'achat notariés ainsi que des justificatifs de paiement, que l'appartement conjugal a été acquis au moyen des seuls fonds</w:t>
      </w:r>
    </w:p>
    <w:p>
      <w:r>
        <w:t>- 23/26 -</w:t>
      </w:r>
    </w:p>
    <w:p>
      <w:r>
        <w:t>C/9140/2016 propres de ce dernier. L'appelante, qui se contente de contester ce fait de manière toute générale, ne fournit toutefois aucune explication ni un début de preuve susceptible de justifier ses propos. Elle ne prétend en particulier pas avoir elle- même fourni un apport personnel et aucun élément au dossier ne permet de retenir une éventuelle autre source de financement, étant rappelé que le bien est demeuré libre de toute hypothèque. Il s'ensuit que l'intimé est en droit de récupérer les fonds propres qu'il a investis lors de l'acquisition de ce bien avant d'en partager la plus-value avec l'appelante à raison d'une moitié chacun, conformément à leurs quotes-parts de copropriété.</w:t>
      </w:r>
    </w:p>
    <w:p>
      <w:r>
        <w:t>Partant, et sans même tenir compte des travaux invoqués par l'intimé, la part de l'appelante pour l'appartement conjugal s'élèverait au maximum à 298'285 fr., correspondant à la moitié de la plus-value (1'200'000 fr. - 603'430 fr.) /2 ]. Ayant déjà perçu la somme de 450'000 fr. pour la vente de sa part de copropriété de ce bien en exécution de l'acte notarié du 9 juin 2016, elle ne saurait faire valoir des prétentions supplémentaires en paiement.</w:t>
      </w:r>
    </w:p>
    <w:p>
      <w:r>
        <w:t>Concernant le chalet de C______, il est établi et pas contesté que ce bien a été acquis en 2000 pour le prix de EUR 134'000 et que la valeur s'élevait à environ EUR 380'000 en 2016. Par ailleurs, il est démontré, d'après les pièces au dossier, que ce bien a lui-aussi été financé au moyen des seuls fonds propres de l'intimé. Ce dernier a encore fourni des listes de travaux accompagnées de diverses factures correspondantes, prouvant ainsi par pièces avoir procédé à divers travaux d'aménagement au moyen de ses propres fonds, à concurrence de EUR 383'000. A teneur des libellés des factures, les travaux entrepris consistaient en un projet de rénovation/réaménagement comprenant notamment des travaux de charpente, carrelage, de cloisons, de maçonnerie, de menuiserie, d'électricité, de réfection d'une cuisine, ainsi que des honoraires d'architectes, soit des travaux importants de nature à engendrer une plus-value du bien. Là encore, l'appelante ne fournit aucun élément permettant de s'écarter des pièces du dossier, lesquelles sont cohérentes et suffisamment probantes.</w:t>
      </w:r>
    </w:p>
    <w:p>
      <w:r>
        <w:t>Ainsi, après restitution à l'intimé de ses investissements, l'appelante ne peut prétendre à un quelconque paiement en sus de la somme de EUR 92'000 déjà perçue pour la vente de sa part de copropriété de ce bien en exécution de l'acte notarié du 30 mai 2016. Ses prétentions en paiement à ce titre s'avèrent également infondées. Pour le surplus, l'appelante ne peut tirer argument des actes notariés. En effet, l'absence de ratification de la convention de divorce n'invalide pas pour autant lesdits actes notariés, lesquels n'ont jamais été remis en cause par les parties. Or, ceux-ci ne prévoyaient le versement de sommes supplémentaires qu'à une condition non réalisée et qui, après instruction complémentaire de la cause et pour les motifs susmentionnés, ne s'avère pas disproportionnée ni manifestement</w:t>
      </w:r>
    </w:p>
    <w:p>
      <w:r>
        <w:t>- 24/26 -</w:t>
      </w:r>
    </w:p>
    <w:p>
      <w:r>
        <w:t>C/9140/2016 inéquitable. Contrairement à ce que soutient l'appelante, on ne saurait déduire de ces actes une donation en sa faveur. Si l'intimé était certes disposé à lui verser une somme supérieure aux droits réellement détenus par cette dernière, dont les montants supplémentaires à ceux déjà perçus, ces paiements s'inscrivaient dans le cadre d'un accord global composé de concessions réciproques et étaient de surcroît soumis à certaines conditions. En définitive, force est de constater que l'appelante n'a plus de prétention à faire valoir au titre de la liquidation de ses parts de copropriété en lien avec l'appartement conjugal ou le chalet de C______.</w:t>
      </w:r>
    </w:p>
    <w:p>
      <w:r>
        <w:t>Infondé, son appel sera donc rejeté.</w:t>
      </w:r>
    </w:p>
    <w:p>
      <w:r>
        <w:rPr>
          <w:b/>
        </w:rPr>
        <w:t>E. 4.3</w:t>
      </w:r>
    </w:p>
    <w:p>
      <w:r>
        <w:t>En l'absence d'appel formé par l'intimé, il n'y a pas lieu d'examiner ses prétentions en remboursement d'un éventuel trop versé, écartées par le Tribunal. 5. 5.1 La réformation partielle du jugement entrepris ne commande pas de revoir la décision du Tribunal sur les frais, qui n'est pas contestée en tant que telle (art. 318 al. 3 CPC a contrario). 5.2 Les frais judiciaires d'appel seront arrêtés à 4'000 fr. (art. 30 et 35 RTFMC) et mis à la charge des parties pour moitié chacune, vu la nature familiale du litige (art. 107 al. 1 let. c CPC). Ils seront compensés avec l'avance de frais de même montant fournie par l'appelante, qui demeure acquise à l'Etat de Genève (art. 111 al. 1 CPC) et l'intimé sera condamné à rembourser à l'appelante la moitié de son avance, soit la somme de 2'000 fr. (art. 111 al. 2 CPC). Pour les mêmes motifs, chaque partie supportera ses propres dépens d'appel (art. 107 al. 1 let. c CPC). * * * * *</w:t>
      </w:r>
    </w:p>
    <w:p>
      <w:r>
        <w:t>- 25/26 -</w:t>
      </w:r>
    </w:p>
    <w:p>
      <w:r>
        <w:t>C/9140/2016 PAR CES MOTIFS, La Chambre civile : A la forme : Déclare recevable l'appel interjeté le 17 novembre 2021 par A______ contre les chiffres 3, 6 et 10 du dispositif du jugement JTPI/13227/2021 rendu le 15 octobre 2021 par le Tribunal de première instance dans la cause C/9140/2016. Au fond : Annule le chiffre 6 du dispositif du jugement entrepris et, statuant à nouveau sur ce point : Condamne A______ à payer à B______, par mois et d'avance, à titre d'indemnité pour l'exercice du droit d'habitation sur l'appartement n. 3______ situé au 1er étage de l'immeuble sis chemin 1______ no.______, la somme de 1'800 fr. par mois du 21 décembre 2021 au 31 octobre 2023, puis la somme de 3'000 fr. par mois dès le 1er novembre 2023, si elle n'a pas libéré ledit appartement de sa personne et de ses biens à cette date. Confirme le jugement entrepris pour le surplus. Déboute les parties de toutes autres conclusions. Sur les frais : Arrête les frais judiciaires d'appel à 4'000 fr., les met à la charge des parties pour moitié chacune et les compense avec l'avance de frais de même montant fournie par A______, qui demeure acquise à l'Etat. Condamne B______ à payer à A______ la somme de 2'000 fr. à titre de remboursement partiel de son avance. Dit que chaque partie supporte ses propres dépens d'appel. Siégeant : Monsieur Cédric-Laurent MICHEL, président; Madame Pauline ERARD, Madame Paola CAMPOMAGNANI, juges; Madame Sandra CARRIER, greffière. Le président : Cédric-Laurent MICHEL</w:t>
      </w:r>
    </w:p>
    <w:p>
      <w:r>
        <w:t>La greffière : Sandra CARRIER</w:t>
      </w:r>
    </w:p>
    <w:p>
      <w:r>
        <w:t>- 26/26 -</w:t>
      </w:r>
    </w:p>
    <w:p>
      <w:r>
        <w:t>C/9140/2016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mars 2019 consid. 3). Les faits nouveaux ne sont admis que dans la mesure où ils concernent les points faisant l'objet du renvoi et où ils sont admissibles selon le droit de procédure applicable devant l'autorité à laquelle la cause est renvoyée (ATF 135 III 334 consid. 2; 131 III 91 consid. 5.2, arrêts du Tribunal fédéral 4A_558/2017 du 29 mai 2018 consid. 3.1; 4A_555/2015 du 18 mars 2016 consid. 2.2). En première instance, les faits et moyens de preuve nouveaux peuvent être présentés lors des débats d'instruction lorsque ceux-ci sont ordonnés (art. 226 al. 2 CPC) ou, à défaut, à l'ouverture des débats principaux (art. 229 al. 2 CPC). Si un nouvel élément n'est introduit qu'après ce moment, il ne peut être pris en considération qu'aux conditions de l'art. 229 al. 1 let. a (vrai nova) ou let. b (pseudo nova) CPC, à savoir s'ils sont produits sans retard et avec la diligence requise (arrêts du Tribunal fédéral 4A_70/2019 du 6 août 2019 consid. 2.5.2; 5A_767/2015 du 28 mars 2017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