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ACJC/1673/2016 vom 4. April 2016</w:t>
      </w:r>
    </w:p>
    <w:p>
      <w:r>
        <w:t>GE Cour de justice, 2016-04-04, FR</w:t>
      </w:r>
    </w:p>
    <w:p>
      <w:r>
        <w:rPr>
          <w:b/>
        </w:rPr>
        <w:t xml:space="preserve">Quelle: </w:t>
      </w:r>
      <w:r>
        <w:t>https://mcp.opencaselaw.ch/entscheid/ge_gerichte_ACJC_1673_2016</w:t>
      </w:r>
    </w:p>
    <w:p>
      <w:r>
        <w:t>FR: GE_GERICHTE ACJC/1673/2016 du 4 avril 2016</w:t>
      </w:r>
    </w:p>
    <w:p>
      <w:r>
        <w:t>IT: GE_GERICHTE ACJC/1673/2016 del 4 aprile 2016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en première instance, la valeur litigieuse, capitalisée selon l'art. 92 al. 1 CPC, est supérieure à 10'000 fr. La voie de l'appel est dès lors ouverte. L'appel a été interjeté dans le délai imparti (art. 311 al. 1 CPC) et suivant la forme prescrite par la loi (art. 130 et 131 CPC). Dans la mesure où l'appelant conclut à l'annulation du jugement et non uniquement de certains chiffres de son dispositif, l'appel présente toutefois un défaut de motivation s'agissant des dispositions liées à la constatation du lien de filiation (ch. 1 et 2 du dispositif), à l'autorité parentale (ch. 3) et au versement d'une indemnité pour frais de premier trousseau de l'enfant (ch. 5), puisqu'il ne comporte aucune critique du jugement sur ces questions, ne désigne pas les passages contestés de la décision attaquée et n'indique pas en quoi celle-ci serait erronée ni pour quels motifs il se justifierait de la modifier, contrairement à ce que requiert la jurisprudence du Tribunal fédéral (ATF 138 III 374 consid. 4.3.1; arrêt du Tribunal fédéral 5A_737/2012 du 23 janvier 2013 consid. 4.4.2; JEANDIN, in CPC, Code de procédure civile commenté, BOHNET/HALDY/JEANDIN/SCHWEIZER/TAPPY [éd.], Bâle 2011, n. 3 ad art. 311 CPC). En particulier, l'appelant n'énonce pas les griefs qu'il entend soulever à l'encontre du jugement entrepris sur ces questions, de sorte que, en tant qu'il conteste le jugement à cet égard, il n'est pas possible de déterminer ce qui est reproché au premier juge. Au vu de ce qui précède et dans la mesure où l'absence de toute argumentation constitue un vice irréparable affectant l'appel, ce dernier n'est recevable qu'en ce qui concerne la contribution à l'entretien de l'enfant.</w:t>
      </w:r>
    </w:p>
    <w:p>
      <w:r>
        <w:rPr>
          <w:b/>
        </w:rPr>
        <w:t>E. 1.2</w:t>
      </w:r>
    </w:p>
    <w:p>
      <w:r>
        <w:t>La Cour revoit la cause avec un plein pouvoir d'examen (art. 310 CPC). La procédure simplifiée est applicable (art. 295 CPC). En ce qui concerne la fixation de la contribution d'entretien due à un enfant mineur, les maximes d'office et inquisitoire illimitée régissent la procédure, de</w:t>
      </w:r>
    </w:p>
    <w:p>
      <w:r>
        <w:t>- 7/11 -</w:t>
      </w:r>
    </w:p>
    <w:p>
      <w:r>
        <w:t>C/14089/2015 sorte que la Cour établit les faits d'office et n'est pas liée par les conclusions des parties (art. 296 CPC).</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novas (cf. ACJC/345/2016 consid. 3.1; ACJC/361/2013 consid. 1.3). 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(ATF 142 III 413 consid. 2.2.3 à 2.2.6).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138 I 484 consid. 2.4, JdT 2014 I 32; arrêt du Tribunal fédéral 2C_560/2012 du 21 janvier 2013 consid. 4.4). En l'espèce, l'appelant a fait usage de son droit de réplique en répondant par courrier du 6 octobre 2016, à la duplique qui lui a été communiquée par le greffe le 19 septembre 2016. L'intimé a quant à lui à nouveau dupliqué par courrier du 29 octobre 2016. L'avis selon lequel la cause était gardée à juger n'empêchait pas les parties de se déterminer à nouveau, ces dernières n'ayant au demeurant pas réagi tardivement. Des éléments nouveaux ne pouvaient toutefois pas être invoqués après la clôture des débats survenue le 19 septembre 2016. Les faits et moyens de preuve nouveaux invoqués par les parties sont ainsi recevables, à l'exception des documents produits par courrier du 6 octobre 2016.</w:t>
      </w:r>
    </w:p>
    <w:p>
      <w:r>
        <w:rPr>
          <w:b/>
        </w:rPr>
        <w:t>E. 2</w:t>
      </w:r>
    </w:p>
    <w:p>
      <w:r>
        <w:t>2.1.1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fortune et des</w:t>
      </w:r>
    </w:p>
    <w:p>
      <w:r>
        <w:t>- 8/11 -</w:t>
      </w:r>
    </w:p>
    <w:p>
      <w:r>
        <w:t>C/14089/2015 revenus de l’enfant, ainsi que de la participation de celui des parents qui n’a pas la garde de l’enfant à la prise en charge de ce dernier (art. 285 al. 1 CC). Les besoins de l’enfant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 285 consid. 3a/cc, JdT 1996 I 217). La loi n'impose pas de méthode de calcul pour chiffrer la contribution alimentaire (ATF 128 III 411 consid. 3.2.2 ; arrêt du Tribunal fédéral 5A_96/2012 du 21 juin 2012 consid. 3.1). Le juge dispose à cet égard d'un large pouvoir d'appréciation et prend sa décision en application des règles du droit et de l'équité (art. 4 CC) (ATF 135 III 59 consid. 4.4; 127 III 136 consid. 3a).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consid. 2b, JdT 2001 I 562 ; 126 III 353 consid. 1a/aa, JdT 2002 I 162). Le minimum vital du débirentier au sens du droit des poursuites doit être garanti (ATF 135 II 66 consid. 2; 127 III 68 consid. 2c). 2.1.2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Lorsque le débirentier diminue volontairement son revenu alors qu'il sait, ou doit savoir, qu'il doit assumer des obligations d'entretien, il n'est pas insoutenable de lui imputer le revenu qu'il gagnait précédemment, ce avec effet rétroactif au jour de la diminution (arrêt 5A_612/2011 du 27 février 2012 consid. 2.1 et les références mentionnées). 2.1.3 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127 III 68, JdT 2001 I 563 consid. 2b; ATF 126 III 353, JdT 2002 I 162 consid. 2b; cf. aussi ATF 137 III 59, SJ 2011 I 221).</w:t>
      </w:r>
    </w:p>
    <w:p>
      <w:r>
        <w:t>- 9/11 -</w:t>
      </w:r>
    </w:p>
    <w:p>
      <w:r>
        <w:t>C/14089/2015</w:t>
      </w:r>
    </w:p>
    <w:p>
      <w:r>
        <w:rPr>
          <w:b/>
        </w:rPr>
        <w:t>E. 2.2</w:t>
      </w:r>
    </w:p>
    <w:p>
      <w:r>
        <w:t>En l'espèce, l'éventuelle reprise de la vie commune des parents de l'enfant est sans pertinence, l'appelant ne prouvant pas contribuer à l'entretien de ce dernier depuis l'emménagement de l'intimée dans son appartement. Au demeurant, cet élément nouveau, survenu en août 2016, est trop récent pour admettre l'existence d'une nouvelle communauté de vie stable. La requête en fixation d'une contribution à l'entretien de l'enfant n'est ainsi pas devenue sans objet. Les pièces au dossier permettent de retenir que l'appelant est chargé d'enseignement auprès de la H______ depuis 2012, son mandat ayant chaque année été renouvelé. Par ailleurs, dans la mesure où les sites internet de la I______ et de la J______ désignent l'appelant comme étant un de leurs enseignants et que ce dernier n'a fourni aucun document, soit notamment une attestation de ces institutions ou une demande auprès d'elles de suppression de son nom sur leur site internet, pour infirmer cet élément, il sera retenu que l'appelant enseigne également auprès d'elles. Ce dernier a admis réaliser des revenus mensuels de 4'000 fr. en 2015. Dès lors qu'il n'a été versé à la procédure aucun justificatif pour démontrer ces revenus et qu'il semble ainsi maintenir une certaine opacité sur sa situation financière, ce qui ressort également du jugement sur mesures protectrices du 22 avril 2015, il sera considéré que le montant admis de 4'000 fr. par mois correspond à tout le moins à son revenu mensuel moyen net, y compris durant les mois d'été.</w:t>
      </w:r>
    </w:p>
    <w:p>
      <w:r>
        <w:t>Certes, il résulte de la lettre de sortie des K______ du 27 avril 2016 que l'appelant a souffert de graves problèmes de santé en début d'année 2016 ayant nécessité une hospitalisation de presque 3 mois jusqu'au 20 avril 2016. Les pièces au dossier ne sont toutefois pas suffisantes pour admettre la perte d'une capacité de gain. En effet, alors qu'il a disposé de plusieurs mois pour établir ses dires, l'appelant n'a fourni aucun justificatif, avant la clôture des débats devant la Cour, pour prouver la cessation, durant le premier semestre 2016, du versement de sa rémunération de la part de ses employeurs ou de l'absence de versement d'indemnités de perte de gain. Il n'a au surplus produit aucun certificat médical attestant d'une incapacité de travail pour la période postérieure à son hospitalisation, ni aucune attestation de ses employeurs, soit de la H______, de la I______ et de la J______, certifiant qu'il ne travaillait plus pour eux. L'obtention de prestations de l'aide sociale au mois de juin 2016 ne saurait à cet égard être déterminante, l'appelant ayant déjà perçu des prestations de l'assurance chômage alors qu'il était par ailleurs salarié (cf. jugement sur mesures protectrices de l'union conjugal du 22 avril 2015).</w:t>
      </w:r>
    </w:p>
    <w:p>
      <w:r>
        <w:t>Par conséquent, l'appelant n'a pas établi ne plus percevoir les revenus mensuels nets de 4'000 fr. qu'il a admis réaliser jusqu'en fin d'année 2015. En tout état de cause, au vu de son âge (36 ans), de sa formation et son expérience</w:t>
      </w:r>
    </w:p>
    <w:p>
      <w:r>
        <w:t>- 10/11 -</w:t>
      </w:r>
    </w:p>
    <w:p>
      <w:r>
        <w:t>C/14089/2015 professionnelle, on pourrait raisonnablement exiger de lui qu'il retrouve un emploi dans l'enseignement ou la finance lui procurant un tel revenu.</w:t>
      </w:r>
    </w:p>
    <w:p>
      <w:r>
        <w:t>Après déduction de ses charges, l'appelant dispose d'un solde de 908 fr. 90 (4'000 fr. – 3'091 fr. 10).</w:t>
      </w:r>
    </w:p>
    <w:p>
      <w:r>
        <w:t>Les besoins de stricte nécessité de l'enfant peuvent être estimés à 340 fr. par mois.</w:t>
      </w:r>
    </w:p>
    <w:p>
      <w:r>
        <w:t>Il n'est pas contesté que la mère du mineur n'a en l'état aucune capacité contributive. Dès lors qu'elle fournit la plus grande partie des soins en nature à l'enfant, âgé d'un an, il y a lieu de faire supporter le coût financier de ce dernier à l'appelant, ce qui n'est du reste pas remis en cause.</w:t>
      </w:r>
    </w:p>
    <w:p>
      <w:r>
        <w:t>Dans ces circonstances, une contribution à l'entretien de l'enfant de 400 fr. jusqu'à l'âge de 4 ans, 500 fr. jusqu'à 8 ans, 600 fr. jusqu'à 12 ans et 700 fr. jusqu'à la majorité, voire au-delà mais jusqu'à 25 ans au plus en cas d'études régulièrement et sérieusement suives, telle que fixée par le Tribunal, apparaît justifiée et appropriée à la situation financière des parents. Le dies a quo, soit le 11 février 2015, date de la naissance de l'enfant, n'est au surplus pas contesté, de sorte qu'il sera confirmé. Après déduction du montant dû à C______, l'appelant disposera encore d'un solde d'au moins 508 fr. 90, qui lui permettra de contribuer dans une mesure équivalente à l'entretien de D______. Il lui appartient à cet égard de demander une modification de la contribution d'entretien fixée par jugement du 3 novembre 2011, ce dernier ne tenant pas compte de la naissance de C______. S'agissant de l'entretien des deux enfants dont il a la garde, les besoins financiers de ces derniers sont couverts par les contributions dues par leur mère selon jugement sur mesures protectrices de l'union conjugale du 22 avril 2015.</w:t>
      </w:r>
    </w:p>
    <w:p>
      <w:r>
        <w:rPr>
          <w:b/>
        </w:rPr>
        <w:t>E. 2.3</w:t>
      </w:r>
    </w:p>
    <w:p>
      <w:r>
        <w:t>L'appel est donc rejeté et le chiffre 4 du jugement entrepris confirmé.</w:t>
      </w:r>
    </w:p>
    <w:p>
      <w:r>
        <w:rPr>
          <w:b/>
        </w:rPr>
        <w:t>E. 3</w:t>
      </w:r>
    </w:p>
    <w:p>
      <w:r>
        <w:t>Les frais judiciaires d'appel, arrêtés à 800 fr. (art. 95 al. 1 let. a et al. 2, 96 CPC, art. 32 et 35 RTFMC), seront mis à la charge de l'appelant qui succombe (art. 106 al. 1 CPC). Ces frais seront provisoirement laissés à la charge de l'Etat, dès lors que l'appelant est au bénéfice de l'assistance judiciaire (art. 122 al. 1 let. b et 123 CPC; art. 19 RAJ). Pour le surplus, vu la nature du litige, chacune des parties conservera ses dépens à sa charge (art. 107 al. 1 let. c CPC). * * * * * *</w:t>
      </w:r>
    </w:p>
    <w:p>
      <w:r>
        <w:t>- 11/11 -</w:t>
      </w:r>
    </w:p>
    <w:p>
      <w:r>
        <w:t>C/14089/2015</w:t>
      </w:r>
    </w:p>
    <w:p>
      <w:r>
        <w:t>PAR CES MOTIFS, La Chambre civile : A la forme : Déclare recevable l'appel interjeté par A______ contre le chiffre 4 du dispositif du jugement JTPI/4013/2016 rendu le 4 avril 2016 par le Tribunal de première instance dans la cause C/14089/2015-8. Déclare l'appel irrecevable pour le surplus. Au fond : Confirme le chiffre 4 du dispositif du jugement entrepris. Déboute les parties de toutes autres conclusions. Sur les frais : Arrête les frais judiciaires de l'appel à 800 fr. et les met à la charge de A______. Dit que cette somme sera provisoirement supportée par l'Etat de Genève. Dit que chacune des parties garde ses propres dépens d'appel à sa charge.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