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ACJC/1667/2022 vom 17. Januar 2023</w:t>
      </w:r>
    </w:p>
    <w:p>
      <w:r>
        <w:t>GE Cour de justice, 2023-01-17, FR</w:t>
      </w:r>
    </w:p>
    <w:p>
      <w:r>
        <w:rPr>
          <w:b/>
        </w:rPr>
        <w:t xml:space="preserve">Quelle: </w:t>
      </w:r>
      <w:r>
        <w:t>https://mcp.opencaselaw.ch/entscheid/ge_gerichte_ACJC_1667_2022</w:t>
      </w:r>
    </w:p>
    <w:p>
      <w:r>
        <w:t>FR: GE_GERICHTE ACJC/1667/2022 du 17 janvier 2023</w:t>
      </w:r>
    </w:p>
    <w:p>
      <w:r>
        <w:t>IT: GE_GERICHTE ACJC/1667/2022 del 17 gennaio 2023</w:t>
      </w:r>
    </w:p>
    <w:p>
      <w:pPr>
        <w:pStyle w:val="Heading2"/>
      </w:pPr>
      <w:r>
        <w:t>Erwägungen</w:t>
      </w:r>
    </w:p>
    <w:p>
      <w:r>
        <w:rPr>
          <w:b/>
        </w:rPr>
        <w:t>E. 1.1</w:t>
      </w:r>
    </w:p>
    <w:p>
      <w:r>
        <w:t>Dans les affaires patrimoniales, l'appel est recevable contre les décisions finales de première instance si la valeur litigieuse est de 10'000 fr. au moins au dernier état des conclusions (art. 308 al. 1 let. a et al. 2 CPC). En matière de contestation de l'état de collocation, la valeur litigieuse correspond au dividende probable devant revenir à la prétention litigieuse, soit au gain</w:t>
      </w:r>
    </w:p>
    <w:p>
      <w:r>
        <w:t>- 5/8 -</w:t>
      </w:r>
    </w:p>
    <w:p>
      <w:r>
        <w:t>C/5220/2021 possible du procès (ATF 140 III 65 consid. 3.2, 138 III 675 consid. 3.1; 135 III 545 consid. 1). En l'espèce, dans la mesure où il ressort de l'état de collocation dressé par l'Office des faillites le 19 février 2021 que le dividende probable sera, pour les créances colloquées en troisième classe, de 42.56 % et que le litige portait, au dernier état des conclusions de première instance, sur la collocation en troisième classe de deux créances de 200'000 fr. ainsi que de deux créances de 30'000 fr., la valeur litigieuse s'élève à 195'776 fr. (42.56 % x 460'000 fr.), de sorte que la voie de l'appel est ouverte.</w:t>
      </w:r>
    </w:p>
    <w:p>
      <w:r>
        <w:rPr>
          <w:b/>
        </w:rPr>
        <w:t>E. 1.2</w:t>
      </w:r>
    </w:p>
    <w:p>
      <w:r>
        <w:t>L'appel, motivé et formé par écrit dans un délai de trente jours à compter de la notification de la décision, est recevable (art. 130, 131, 145 al. 1 let. b et 311 al. 1 CPC).</w:t>
      </w:r>
    </w:p>
    <w:p>
      <w:r>
        <w:rPr>
          <w:b/>
        </w:rPr>
        <w:t>E. 1.3</w:t>
      </w:r>
    </w:p>
    <w:p>
      <w:r>
        <w:t>La Cour revoit la cause avec un plein pouvoir d'examen (art. 310 CPC). Elle applique en outre la maxime des débats et le principe de disposition (art. 55 al. 1 et 58 al. 1 CPC).</w:t>
      </w:r>
    </w:p>
    <w:p>
      <w:r>
        <w:rPr>
          <w:b/>
        </w:rPr>
        <w:t>E. 2</w:t>
      </w:r>
    </w:p>
    <w:p>
      <w:r>
        <w:t>L'appelante reproche au Tribunal d'avoir procédé à une constatation inexacte des faits sur plusieurs points. En tant que de besoin, l'état de fait présenté ci-dessus a été rectifié et complété, de sorte que ce grief ne sera pas examiné plus avant.</w:t>
      </w:r>
    </w:p>
    <w:p>
      <w:r>
        <w:rPr>
          <w:b/>
        </w:rPr>
        <w:t>E. 3</w:t>
      </w:r>
    </w:p>
    <w:p>
      <w:r>
        <w:t>Les appelantes reprochent au premier juge de n'avoir pas admis leurs créances respectives de 200'00 fr. dans l'état de collocation.</w:t>
      </w:r>
    </w:p>
    <w:p>
      <w:r>
        <w:t>3.1.1 Le créancier qui conteste l'état de collocation parce que sa production a été écartée en tout ou en partie ou parce qu'elle n'a pas été colloquée au rang qu'il revendique intente une action en contestation de l'état de collocation dirigée contre la masse en faillite (art. 250 al. 1 LP; MARCHAND, Précis de droit des poursuites, 2022, n. 589; JAQUES, Commentaire romand, Poursuite pour dettes et faillite, 2005, n. 6 ad art. 250 LP). L'action en contestation de l'état de collocation selon l'art. 250 LP est une action de droit des poursuites avec effet réflexe de droit matériel (ATF 133 III 386, consid. 4.3.3, et les références citées). Elle a pour but de déterminer la masse passive, c'est-à-dire celle des créances qui participent à la répartition du patrimoine du débiteur failli, en fonction de leur existence, de leur montant, de leur rang et d'éventuels privilèges. L'action en contestation de l'état de collocation a pour seul but de corriger l'état de collocation et n'a pas davantage d'effet de chose jugée en dehors de la procédure de faillite que l'état de collocation lui- même. Le rapport d'obligation en tant que tel - entre le débiteur et le créancier - n'est ainsi pas déterminé de manière définitive. L'existence d'une créance est certes soumise à l'appréciation du juge, mais n'est pas l'objet d'un jugement définitif (ATF 133 III 386, cons. 4.3.3, et les références citées). Ce n'est qu'à titre</w:t>
      </w:r>
    </w:p>
    <w:p>
      <w:r>
        <w:t>- 6/8 -</w:t>
      </w:r>
    </w:p>
    <w:p>
      <w:r>
        <w:t>C/5220/2021 préjudiciel que la question de l'existence et de l'étendue de la créance concernée fait l'objet d'un examen au fond fondé sur le droit matériel (JAQUES, Commentaire romand, Poursuite pour dettes et faillite, 2005, n. 1 ad art. 250 LP).</w:t>
      </w:r>
    </w:p>
    <w:p>
      <w:r>
        <w:t>En cas d'action dirigée contre la masse en faillite, il appartient au créancier dont la production a été écartée de prouver l'existence de sa créance ainsi que le rang auquel elle devrait selon lui être colloquée, en application de l'art. 8 CC (HUNKELER, Kurzkommentar SchKG, 2014, n. 38 ss. ad art. 250 LP). 3.1.2 Selon l'art. 221 al. 1 LP, l'Office procède, dès qu'il a reçu communication de l'ouverture de la faillite, à l'inventaire des biens du failli et prend les mesures nécessaires pour leur conservation. L'inventaire ne détermine pas l'appartenance d'un élément du patrimoine à la masse en faillite, ni n'entraîne le dessaisissement du failli, mais donne une vision d'ensemble sur le patrimoine du failli et tend à assurer sa conservation (VOUILLOZ, Commentaire romand, Poursuite pour dettes et faillite, 2005, n. 3 ad art. 221 LP). Il s'agit d'une mesure interne de l'administration de la faillite, qui n'a aucun effet sur la situation juridique des tiers (ATF 114 III 21 consid. 5b = JdT 1990 II 43; 90 III 18 consid. 1). Elle n'a d'autre but et d'autre conséquence que d'énumérer et d'établir les biens et les droits que la masse considère comme appartenant au failli, y compris les droits litigieux ou contestés (arrêts du Tribunal fédéral 5A_53/2013 du 17 mai 2013 consid. 4.2 et 5A_517/2012 du 24 août 2012 consid. 4.1.2) et de servir de base aux réclamations ultérieures de celle-ci (ATF 38 I 734 consid. 2). La masse décide de faire valoir les droits inventoriés ou d'y renoncer. En cas de renonciation, les créanciers qui le demanderont obtiendront qu'il leur en soit fait cession, de façon à pouvoir poursuivre la réalisation des droits litigieux en lieu et place de la masse (art. 260 al. 1 LP; ATF 104 III 23 consid. 2).</w:t>
      </w:r>
    </w:p>
    <w:p>
      <w:r>
        <w:t>3.1.3 Selon l'article 285 al. 1 LP, la révocation a pour but de soumettre à l'exécution forcée les biens qui lui ont été soustraits par suite d'un acte mentionné aux articles 286 à 288 LP. Selon l'art. 286 LP, toute donation et toute disposition à titre gratuit, à l’exception des cadeaux usuels, sont révocables si elles ont été faites par le débiteur dans l’année qui précède la saisie ou la déclaration de faillite.</w:t>
      </w:r>
    </w:p>
    <w:p>
      <w:r>
        <w:t>3.1.4 Aux termes de l'art. 334 CC, les enfants ou petits-enfants majeurs qui vivent en ménage commun avec leurs parents ou grands-parents et leur consacrent leur travail ou leurs revenus ont droit de ce chef à une indemnité équitable.</w:t>
      </w:r>
    </w:p>
    <w:p>
      <w:r>
        <w:t>3.1.5 Conformément à l’art. 120 al. 1 CO, lorsque deux personnes sont débitrices l’une envers l’autre de sommes d’argent ou d’autres prestations de même espèce, chacune des parties peut compenser sa dette avec sa créance, si les deux dettes sont exigibles.</w:t>
      </w:r>
    </w:p>
    <w:p>
      <w:r>
        <w:t>- 7/8 -</w:t>
      </w:r>
    </w:p>
    <w:p>
      <w:r>
        <w:t>C/5220/2021</w:t>
      </w:r>
    </w:p>
    <w:p>
      <w:r>
        <w:rPr>
          <w:b/>
        </w:rPr>
        <w:t>E. 3.2</w:t>
      </w:r>
    </w:p>
    <w:p>
      <w:r>
        <w:t>En l'espèce, les appelantes soutiennent détenir chacune une créance de 200'000 fr. à l'encontre de leur mère en application de l'art. 334 CC, lesquelles devraient être inscrites à l'état de collocation dressé par l'intimée.</w:t>
      </w:r>
    </w:p>
    <w:p>
      <w:r>
        <w:t>Ce raisonnement ne peut être suivi. Même à admettre que les créances de 200'000 fr. découlant de l'application de l'art. 334 CC auxquelles prétendent les appelantes seraient fondées, elles ont été éteintes par compensation avec les créances que leur mère détenait à leur encontre en remboursement des montants de 200'000 fr. qu'elle leur avait prêtés, ce qu'illustre la note du 1er mars 2020 de C______. Les créances litigieuses n'avaient donc pas à être admises à l'état de collocation.</w:t>
      </w:r>
    </w:p>
    <w:p>
      <w:r>
        <w:t>La question de la validité de la compensation sera cas échéant traitée si l'intimée ou les créanciers cessionnaires décident d'intenter l'action révocatoire inscrite à l'inventaire contre les appelantes, au motif que l'abandon par C______ des créances de 200'000 fr. à l'encontre de chacune de ses filles constituerait des libéralités révocables. Les appelantes pourront alors faire valoir la position qu'elles défendent ici, à savoir que les abandons de créances par leur mère ne constitueraient pas des libéralités, mais éteindraient par compensation les créances qu'elles-mêmes détiendraient à l'encontre de leur mère en vertu de l'art. 334 CC. Cette question ne se pose pas dans la présente procédure qui se limite à la contestation des dettes portées à l'état de collocation et ne permet pas d'examiner les actifs portés à l'inventaire – inventaire qui n'a de surcroît aucune portée sur la situation juridique des tiers.</w:t>
      </w:r>
    </w:p>
    <w:p>
      <w:r>
        <w:t>Par conséquent, le jugement querellé intégralement confirmé, sans qu'il ne soit besoin d'examiner l'éventuel bienfondé des créances que les appelantes prétendent détenir à l'encontre de leur mère.</w:t>
      </w:r>
    </w:p>
    <w:p>
      <w:r>
        <w:rPr>
          <w:b/>
        </w:rPr>
        <w:t>E. 4</w:t>
      </w:r>
    </w:p>
    <w:p>
      <w:r>
        <w:t>Les frais judiciaires d'appel seront arrêtés à 1'200 fr. (art. 95 al. 1 et 2, 104 al. 1 et 105 CPC; art. 19 LaCC; art. 7, 17 et 35 RTFMC), compensés entièrement avec l'avance de frais de même montant versée par les appelantes et mis à leur charge en totalité (art. 106 al.1 et 111 al. 1 CPC). Les appelantes seront aussi condamnées, solidairement entre elles, aux dépens d'appel de leur partie adverse, arrêtés à 1'150 fr., TVA et débours compris (art. 85, 89 et 90 RTFMC; art. 25 et 26 LaCC). * * * * *</w:t>
      </w:r>
    </w:p>
    <w:p>
      <w:r>
        <w:t>- 8/8 -</w:t>
      </w:r>
    </w:p>
    <w:p>
      <w:r>
        <w:t>C/5220/2021 PAR CES MOTIFS, La Chambre civile : A la forme : Déclare recevable l'appel interjeté par A______ et B______ contre le jugement JTPI/13818/2021 rendu le 2 novembre 2021 par le Tribunal de première instance dans la cause C/5220/2021. Au fond : Confirme le jugement entrepris. Déboute les parties de toutes autres conclusions. Sur les frais : Arrête les frais judiciaires d'appel à 1'200 fr., les met à charge de A______ et B______, prises solidairement entre elles, et les compense avec l'avance fournie, qui reste acquise à l'Etat de Genève. Condamne A______ et B______, prises solidairement entre elles, à verser à LA MASSE EN FAILLITE DE LA SUCCESSION DE FEU MADAME C______ la somme de 1'150 fr. à titre de dépens d'appel. Siégeant : Madame Ursula ZEHETBAUER GHAVAMI, présidente; Madame Sylvie DROIN,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