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ACJC/1664/2025 vom 20. November 2025</w:t>
      </w:r>
    </w:p>
    <w:p>
      <w:r>
        <w:t>GE Cour de justice, 2025-11-20, FR</w:t>
      </w:r>
    </w:p>
    <w:p>
      <w:r>
        <w:rPr>
          <w:b/>
        </w:rPr>
        <w:t xml:space="preserve">Quelle: </w:t>
      </w:r>
      <w:r>
        <w:t>https://mcp.opencaselaw.ch/entscheid/ge_gerichte_ACJC_1664_2025</w:t>
      </w:r>
    </w:p>
    <w:p>
      <w:r>
        <w:t>FR: GE_GERICHTE ACJC/1664/2025 du 20 novembre 2025</w:t>
      </w:r>
    </w:p>
    <w:p>
      <w:r>
        <w:t>IT: GE_GERICHTE ACJC/1664/2025 del 20 novembre 2025</w:t>
      </w:r>
    </w:p>
    <w:p>
      <w:pPr>
        <w:pStyle w:val="Heading2"/>
      </w:pPr>
      <w:r>
        <w:t>Erwägungen</w:t>
      </w:r>
    </w:p>
    <w:p>
      <w:r>
        <w:rPr>
          <w:b/>
        </w:rPr>
        <w:t>E. 1.1</w:t>
      </w:r>
    </w:p>
    <w:p>
      <w:r>
        <w:t>L'ordonnance entreprise ayant été communiquée aux parties après le 1er janvier 2025, les voies de droit prévues par la nouvelle procédure sont applicables (art. 405 al. 1 CPC).</w:t>
      </w:r>
    </w:p>
    <w:p>
      <w:r>
        <w:rPr>
          <w:b/>
        </w:rPr>
        <w:t>E. 1.2</w:t>
      </w:r>
    </w:p>
    <w:p>
      <w:r>
        <w:t>L'appel est recevable contre les décisions de première instance sur mesures provisionnelles, dans les causes non patrimoniales ou dont la valeur litigieuse, au dernier état des conclusions de première instance,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2ème éd., 2019, n. 64 ad art. 91 CPC). Capitalisée conformément à l'art. 92 al. 2 CPC, la quotité contestée des contributions d'entretien litigieuses est en l'espèce supérieure à 10'000 fr., de sorte que la voie de l'appel est ouverte, ce qui n'est pas contesté.</w:t>
      </w:r>
    </w:p>
    <w:p>
      <w:r>
        <w:rPr>
          <w:b/>
        </w:rPr>
        <w:t>E. 1.3</w:t>
      </w:r>
    </w:p>
    <w:p>
      <w:r>
        <w:t>Interjeté auprès de l'autorité compétente (art. 120 al. 1 let. a LOJ), dans le délai utile de trente jours (art. 314 al. 2 CPC) et selon la forme prescrite par la loi (art. 130, 131 et 311 CPC), l’appel est recevable.</w:t>
      </w:r>
    </w:p>
    <w:p>
      <w:r>
        <w:rPr>
          <w:b/>
        </w:rPr>
        <w:t>E. 1.4</w:t>
      </w:r>
    </w:p>
    <w:p>
      <w:r>
        <w:t>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1.5</w:t>
      </w:r>
    </w:p>
    <w:p>
      <w:r>
        <w:t>La Cour revoit la cause en fait et en droit avec un plein pouvoir d'examen (art. 310 CPC). La présente cause est soumise aux maximes d'office et inquisitoire illimitée en tant qu'elle concerne la contribution d'entretien due en faveur de l'enfant mineure (art. 55 al. 2, 58 al. 2 et 296 al. 1 et 3 CPC; ATF 147 III 301 consid. 2.2.) ce qui a pour conséquence que la Cour n'est pas liée par les conclusions des parties, ni par l'interdiction de la reformatio in pejus (ATF 129 III 417 consid. 2.1.1; arrêts du Tribunal fédéral 5A_841/2018,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27 avril 2017 consid. 4.1).</w:t>
      </w:r>
    </w:p>
    <w:p>
      <w:r>
        <w:t>- 8/12 -</w:t>
      </w:r>
    </w:p>
    <w:p>
      <w:r>
        <w:t>C/8869/2025 En revanche, s'agissant de la contribution d'entretien en faveur du conjoint ou de la provisio ad litem, les maximes de disposition (art. 58 al. 1 CPC; ATF 128 III 411 consid. 3.2.2) et inquisitoire limitée (art. 272 CPC) sont applicables, de sorte que le Tribunal ne peut accorder à une partie ni plus ni autre chose que ce qui est demandé, ni moins que ce qui est reconnu par la partie adverse (arrêt du Tribunal fédéral 5A_751/2019 du 25 février 2020 consid. 5.1).</w:t>
      </w:r>
    </w:p>
    <w:p>
      <w:r>
        <w:rPr>
          <w:b/>
        </w:rPr>
        <w:t>E. 1.6</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Les parties ont produit des pièces nouvelles, soit le jugement du Tribunal du 12 juin 2025 prononçant leur divorce et un courrier du conseil de l’intimée à celui de l’appelant du 25 juillet 2025. L’appelant a nouvellement allégué des faits devant la Cour, auxquels l’intimée a répondu. 2.1.1 Selon l'art. 317 al. 1 CPC, les faits et moyens de preuve nouveaux ne sont pris en compte dans le cadre d'un appel que s'ils sont invoqués ou produits sans retard (let. a) et s'ils ne pouvaient être invoqués ou produits devant la première instance bien que la partie qui s'en prévaut ait fait preuve de diligence (let. b). 2.1.2 Lorsqu'elle doit examiner les faits d'office, l'instance d'appel admet des faits et moyens de preuve nouveaux jusqu'aux délibérations (art. 317 al. 1bis CPC). 2.1.3 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 consid. 4.3). 2.1.4 Le tribunal tient un procès-verbal de toutes les audiences (art. 235 CPC). Le procès-verbal est un titre authentique (TAPPY, Commentaire romand, CPC, 2ème éd., 2019, n. 11 ad art. 235 CPC). Le contenu du procès-verbal est présumé exact, sauf preuve du contraire (arrêt du Tribunal fédéral 5A_639/2014 du 8 septembre 2015 consid. 3.2.1). Les parties ont la responsabilité de veiller à la tenue d'un procès-verbal contenant les éléments requis par l'art. 235 CPC, en particulier lorsqu'elles sont assistées (arrêt du Tribunal fédéral 4A_238/2015 du 22 septembre 2015 consid. 2.3; TAPPY, op. cit., n. 10a ad art. 235 CPC).</w:t>
      </w:r>
    </w:p>
    <w:p>
      <w:r>
        <w:rPr>
          <w:b/>
        </w:rPr>
        <w:t>E. 2.2</w:t>
      </w:r>
    </w:p>
    <w:p>
      <w:r>
        <w:t>En l’espèce, les pièces produites sont recevables, sans préjudice de leur pertinence.</w:t>
      </w:r>
    </w:p>
    <w:p>
      <w:r>
        <w:t>- 9/12 -</w:t>
      </w:r>
    </w:p>
    <w:p>
      <w:r>
        <w:t>C/8869/2025 En revanche, les allégations nouvelles de l’appelant, tous comme celles de l’intimée y répondant, sont irrecevables (en particulier gain supérieur de l’intimée et concubinage des parties). Celui-ci aurait pu les faire valoir devant le Tribunal, ce qu’il n’a pas fait, à teneur du procès-verbal, et il n’expose pas pourquoi il en aurait été empêché. En tout état, les pièces produites le 20 mai 2025 sont insuffisantes à rendre vraisemblable que l’intimée réaliserait un revenu plus important que celui retenu par le Tribunal, ou que le véhicule H______ serait en possession de l’intimée (ce qui est au demeurant sans pertinence). Leur seule production était quoiqu’il en soit insuffisante, sans allégués y relatifs, qui auraient dû être portés au procès-verbal. La recevabilité des allégués 33 à 38 peut demeurer ouverte, dans la mesure où ceux-ci sont sans pertinence pour l’issue du litige. C’est enfin le lieu de relever que les allégations nouvelles devant la Cour faisaient l’objet de la demande de réexamen, rejetée par le Tribunal, laquelle se référait au mémoire de réponse déposé devant cette instance et déclaré irrecevable. Les pièces jointes à la demande de révision n’ont pas été produites devant la Cour, de sorte qu’il n’en sera pas tenu compte, sans qu’il y ait lieu de se prononcer sur leur recevabilité.</w:t>
      </w:r>
    </w:p>
    <w:p>
      <w:r>
        <w:rPr>
          <w:b/>
        </w:rPr>
        <w:t>E. 3</w:t>
      </w:r>
    </w:p>
    <w:p>
      <w:r>
        <w:t>L’appelant reproche au Tribunal d’avoir mal apprécié et constaté de façon inexacte son disponible mensuel, en omettant de tenir compte des allocations familiales dans les revenus de l’enfant.</w:t>
      </w:r>
    </w:p>
    <w:p>
      <w:r>
        <w:rPr>
          <w:b/>
        </w:rPr>
        <w:t>E. 3.1</w:t>
      </w:r>
    </w:p>
    <w:p>
      <w:r>
        <w:t>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w:t>
      </w:r>
    </w:p>
    <w:p>
      <w:r>
        <w:rPr>
          <w:b/>
        </w:rPr>
        <w:t>E. 3.2</w:t>
      </w:r>
    </w:p>
    <w:p>
      <w:r>
        <w:t>En l’espèce, le montant des revenus de l’appelant retenu par le Tribunal est arrêté déduction faite des allocations familiales qui lui sont versées. Il n’est par ailleurs pas tenu compte des indemnités perçues par le précité en sa qualité de conseiller communal. Après déduction de ses charges, non contestées (ou sur la base d’allégations et de pièces nouvelles irrecevables), son disponible et de 3'226 fr. (9'200 fr. – 5'974 fr.). Les montants (non contestés) versés à l’enfant C______ à titre de contribution d’entretien totalisent 1'500 fr. [ch. 1 de l’ordonnance], dont à déduire les allocations familiales, de 415 fr., perçues par l’appelant mais devant être reversées à l’enfant, et non comprises dans le revenu du précité. Les primes d’assurance, les frais de téléphone et l’argent de poche (234 fr. + 90 fr. + 40 fr.), soit 364 fr. au total doivent également être pris en compte, l’appelant s’étant engagé à les</w:t>
      </w:r>
    </w:p>
    <w:p>
      <w:r>
        <w:t>- 10/12 -</w:t>
      </w:r>
    </w:p>
    <w:p>
      <w:r>
        <w:t>C/8869/2025 prendre en charge en sus des 1'085 fr.. Ainsi, le disponible de l’appelant est de 3'226 fr. – 1'085 fr. – 364 fr., soit 1'777 fr. comme retenu par le Tribunal. Le grief de l’appelant est infondé. Il n’y pas lieu, au stade des mesures provisionnelles, d’imputer un revenu hypothétique à l’intimée, lequel ne repose sur aucune allégation recevable, et les pièces recevables produites par l’appelant étant insuffisantes à rendre vraisemblable des revenus supérieurs de celle-ci, comme retenu ci-dessus. De plus, il a déjà été tenu compte par le Tribunal du développement de l’activité indépendante de l’intimée, puisqu’un montant de 2'000 fr. a été retenu par le Tribunal à ce titre, alors que cette activité est encore relativement récente (2023). Ainsi, l’imputation d’un revenu hypothétique n’aurait quoiqu’il en soit pas lieu d’être, sur la base des éléments figurant au dossier. Les autres griefs de l’appelant, qui se fondent sur des allégations nouvelles irrecevables ne seront pas examinés plus avant. En conclusion, les chiffres 1 et 2 du dispositif de l’ordonnance querellée seront confirmés.</w:t>
      </w:r>
    </w:p>
    <w:p>
      <w:r>
        <w:rPr>
          <w:b/>
        </w:rPr>
        <w:t>E. 4</w:t>
      </w:r>
    </w:p>
    <w:p>
      <w:r>
        <w:t>L’appelant reproche au premier juge de l’avoir condamné à verser une provisio ad litem. Il soutient que l’intimée pourrait vendre son véhicule H______ afin de s’acquitter de ses honoraires d’avocats.</w:t>
      </w:r>
    </w:p>
    <w:p>
      <w:r>
        <w:rPr>
          <w:b/>
        </w:rPr>
        <w:t>E. 4.1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w:t>
      </w:r>
    </w:p>
    <w:p>
      <w:r>
        <w:t>- 11/12 -</w:t>
      </w:r>
    </w:p>
    <w:p>
      <w:r>
        <w:t>C/8869/2025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La provisio ad litem est une simple avance. Le droit fédéral prévoit uniquement l'obligation d'effectuer cette avance, qui peut dès lors devoir être remboursée dans le cadre du partage définitif des frais entre les parties (arrêt du Tribunal fédéral 5A_590/2019 du 13 février 2020 consid. 3.3).</w:t>
      </w:r>
    </w:p>
    <w:p>
      <w:r>
        <w:rPr>
          <w:b/>
        </w:rPr>
        <w:t>E. 4.2</w:t>
      </w:r>
    </w:p>
    <w:p>
      <w:r>
        <w:t>En l’espèce, l’appelant a donné son accord au versement de la provisio sollicitée par l’intimée, auquel il a par ailleurs procédé. L’allégation nouvelle relative au véhicule H______ est irrecevable, comme retenu supra. En tout état, la situation de l’intimée est déficitaire, de sorte qu’elle était fondée à prétendre au versement d’un provisio ad litem. Par ailleurs, l’appelant ne prétend pas que le versement de la provisio ad litem porterait atteinte à son minimum vital. Partant, le chiffre 3 de l’ordonnance querellée sera également confirmé.</w:t>
      </w:r>
    </w:p>
    <w:p>
      <w:r>
        <w:rPr>
          <w:b/>
        </w:rPr>
        <w:t>E. 5</w:t>
      </w:r>
    </w:p>
    <w:p>
      <w:r>
        <w:t>Les frais judiciaires de l’appel sur mesures provisionnelles seront arrêtés à 1'000 fr. (art. 31 et 40 RTFMC) et mis à la charge de l’appelant qui succombe entièrement (art. 106 al. 1 CPC). Ils seront compensés avec l’avance effectuée, acquise à l’Etat de Genève. Il sera en outre condamné à verser 1'000 fr. de dépens à l’intimée. * * * * *</w:t>
      </w:r>
    </w:p>
    <w:p>
      <w:r>
        <w:t>- 12/12 -</w:t>
      </w:r>
    </w:p>
    <w:p>
      <w:r>
        <w:t>C/8869/2025 PAR CES MOTIFS, La Chambre civile :</w:t>
      </w:r>
    </w:p>
    <w:p>
      <w:r>
        <w:t>A la forme : Déclare recevable l'appel interjeté par A______ le 10 juillet 2025 contre l’ordonnance OTPI/367/2025 rendue le 5 juin 2025 par le Tribunal de première instance dans la cause C/8869/2025-9. Au fond : Confirme l’ordonnance querellée. Déboute les parties de toutes autres conclusions. Sur les frais : Arrête les frais judiciaires de la procédure d’appel à 1'000 fr., les met à la charge de A______ et dit qu’ils sont compensés avec l’avance fournie, acquise à l’Etat de Genève. Condamne A______ à verser à B______ 1'000 fr. à titre de dépens d’appel. Siégeant : Monsieur Cédric-Laurent MICHEL, président; Madame Pauline ERARD, Madame Stéphanie MUSY,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